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AD84C" w14:textId="77777777" w:rsidR="00394566" w:rsidRDefault="00394566" w:rsidP="003006F9">
      <w:pPr>
        <w:jc w:val="both"/>
        <w:rPr>
          <w:rFonts w:ascii="Times New Roman" w:hAnsi="Times New Roman" w:cs="Times New Roman"/>
          <w:sz w:val="24"/>
          <w:szCs w:val="24"/>
        </w:rPr>
      </w:pPr>
    </w:p>
    <w:p w14:paraId="7C9CF2D8" w14:textId="06F6E92F" w:rsidR="00394566" w:rsidRPr="00394566" w:rsidRDefault="00394566" w:rsidP="003006F9">
      <w:pPr>
        <w:jc w:val="both"/>
        <w:rPr>
          <w:rFonts w:ascii="Times New Roman" w:hAnsi="Times New Roman" w:cs="Times New Roman"/>
          <w:b/>
          <w:bCs/>
          <w:sz w:val="24"/>
          <w:szCs w:val="24"/>
        </w:rPr>
      </w:pPr>
      <w:r>
        <w:rPr>
          <w:rFonts w:ascii="Times New Roman" w:hAnsi="Times New Roman" w:cs="Times New Roman"/>
          <w:b/>
          <w:bCs/>
          <w:sz w:val="24"/>
          <w:szCs w:val="24"/>
        </w:rPr>
        <w:t>APIE 1791 m. KONSTITUCIJĄ</w:t>
      </w:r>
    </w:p>
    <w:p w14:paraId="03BA0442" w14:textId="2C1D4FA4" w:rsidR="00394566" w:rsidRPr="00394566" w:rsidRDefault="00394566" w:rsidP="003006F9">
      <w:pPr>
        <w:jc w:val="both"/>
        <w:rPr>
          <w:rFonts w:ascii="Times New Roman" w:hAnsi="Times New Roman" w:cs="Times New Roman"/>
          <w:sz w:val="24"/>
          <w:szCs w:val="24"/>
        </w:rPr>
      </w:pPr>
      <w:hyperlink r:id="rId9" w:history="1">
        <w:r w:rsidRPr="00394566">
          <w:rPr>
            <w:rStyle w:val="Hipersaitas"/>
            <w:rFonts w:ascii="Times New Roman" w:hAnsi="Times New Roman" w:cs="Times New Roman"/>
            <w:sz w:val="24"/>
            <w:szCs w:val="24"/>
          </w:rPr>
          <w:t>Eduardas Monkevičius   </w:t>
        </w:r>
      </w:hyperlink>
    </w:p>
    <w:p w14:paraId="7875291E" w14:textId="77777777" w:rsidR="00394566" w:rsidRDefault="00394566" w:rsidP="003006F9">
      <w:pPr>
        <w:jc w:val="both"/>
        <w:rPr>
          <w:rFonts w:ascii="Times New Roman" w:hAnsi="Times New Roman" w:cs="Times New Roman"/>
          <w:b/>
          <w:bCs/>
          <w:sz w:val="24"/>
          <w:szCs w:val="24"/>
        </w:rPr>
      </w:pPr>
    </w:p>
    <w:p w14:paraId="1241FDBE" w14:textId="495C6400" w:rsidR="00394566" w:rsidRPr="00394566" w:rsidRDefault="00394566" w:rsidP="003006F9">
      <w:pPr>
        <w:jc w:val="both"/>
        <w:rPr>
          <w:rFonts w:ascii="Times New Roman" w:hAnsi="Times New Roman" w:cs="Times New Roman"/>
          <w:sz w:val="24"/>
          <w:szCs w:val="24"/>
        </w:rPr>
      </w:pPr>
      <w:r w:rsidRPr="00394566">
        <w:rPr>
          <w:rFonts w:ascii="Times New Roman" w:hAnsi="Times New Roman" w:cs="Times New Roman"/>
          <w:b/>
          <w:bCs/>
          <w:sz w:val="24"/>
          <w:szCs w:val="24"/>
        </w:rPr>
        <w:t>Pirmoji Europoje-1791 m. Gegužės 3-iosios Konstitucija.</w:t>
      </w:r>
    </w:p>
    <w:p w14:paraId="6382395F" w14:textId="77777777" w:rsidR="003006F9" w:rsidRDefault="00394566" w:rsidP="003006F9">
      <w:pPr>
        <w:jc w:val="both"/>
        <w:rPr>
          <w:rFonts w:ascii="Times New Roman" w:hAnsi="Times New Roman" w:cs="Times New Roman"/>
          <w:i/>
          <w:iCs/>
          <w:sz w:val="24"/>
          <w:szCs w:val="24"/>
        </w:rPr>
      </w:pPr>
      <w:r w:rsidRPr="00394566">
        <w:rPr>
          <w:rFonts w:ascii="Times New Roman" w:hAnsi="Times New Roman" w:cs="Times New Roman"/>
          <w:sz w:val="24"/>
          <w:szCs w:val="24"/>
        </w:rPr>
        <w:t>2021 metais Lietuva ir Lenkija mini Abiejų Tautų Respublikos 1791 m. Gegužės 3-iosios Konstitucijos ir Tarpusavio įžado akto 230-ąsias metines. Atsižvelgdamas į šią sukaktį, 2020 m. gegužės 21 d. Lietuvos Respublikos Seimas priėmė nutarimą, kuriuo 2021 metus paskelbė Abiejų Tautų Respublikos Gegužės 3-iosios Konstitucijos ir Tarpusavio įžado metais. 1791 m. Gegužės 3-iosios Konstitucija buvo pirmoji parlamentiniu būdu priimta rašytinė konstitucija Europoje ir antroji rašytinė konstitucija pasaulyje – iškilus Apšvietos epochos teisės paminklas. Prof. Mečislovas Jučas taip įvertino 1791 m. Gegužės 3-iosios Konstitucijos ir Ketverių metų seimo reformų laikotarpį: „Konstitucija parodė galingą valstybės reformatorių mintį, jų patriotizmą ir pilietinį požiūrį į valstybės likimą. Konstitucija yra ir mūsų protėvių atlikta gili istorinė pamoka, Respublikos simbolis, netgi testamentas ateinančioms kartoms. Lietuva, jos miestai bei miesteliai ir netgi kaimas dar ilgai gyveno Gegužės 3 d. konstitucijos dvasia ir tai parodė savo dažnomis peticijomis caro valdžiai. </w:t>
      </w:r>
      <w:r w:rsidRPr="00394566">
        <w:rPr>
          <w:rFonts w:ascii="Times New Roman" w:hAnsi="Times New Roman" w:cs="Times New Roman"/>
          <w:b/>
          <w:bCs/>
          <w:i/>
          <w:iCs/>
          <w:sz w:val="24"/>
          <w:szCs w:val="24"/>
        </w:rPr>
        <w:t>Gegužės 3-sios konstitucija (</w:t>
      </w:r>
      <w:r w:rsidRPr="00394566">
        <w:rPr>
          <w:rFonts w:ascii="Times New Roman" w:hAnsi="Times New Roman" w:cs="Times New Roman"/>
          <w:i/>
          <w:iCs/>
          <w:sz w:val="24"/>
          <w:szCs w:val="24"/>
        </w:rPr>
        <w:t>https://www.lrs.lt.&gt;sip&gt;portal ). </w:t>
      </w:r>
    </w:p>
    <w:p w14:paraId="08B02A7C" w14:textId="5A6C93E0" w:rsidR="00394566" w:rsidRPr="00394566" w:rsidRDefault="003006F9" w:rsidP="003006F9">
      <w:pPr>
        <w:jc w:val="both"/>
        <w:rPr>
          <w:rFonts w:ascii="Times New Roman" w:hAnsi="Times New Roman" w:cs="Times New Roman"/>
          <w:sz w:val="24"/>
          <w:szCs w:val="24"/>
        </w:rPr>
      </w:pPr>
      <w:r>
        <w:rPr>
          <w:rFonts w:ascii="Times New Roman" w:hAnsi="Times New Roman" w:cs="Times New Roman"/>
          <w:b/>
          <w:bCs/>
          <w:sz w:val="24"/>
          <w:szCs w:val="24"/>
        </w:rPr>
        <w:t>Istorinė įžvalga.</w:t>
      </w:r>
      <w:r w:rsidR="00394566" w:rsidRPr="00394566">
        <w:rPr>
          <w:rFonts w:ascii="Times New Roman" w:hAnsi="Times New Roman" w:cs="Times New Roman"/>
          <w:i/>
          <w:iCs/>
          <w:sz w:val="24"/>
          <w:szCs w:val="24"/>
        </w:rPr>
        <w:t xml:space="preserve">  </w:t>
      </w:r>
    </w:p>
    <w:p w14:paraId="4F78BFC2" w14:textId="77777777" w:rsidR="00394566" w:rsidRPr="00394566" w:rsidRDefault="00394566" w:rsidP="003006F9">
      <w:pPr>
        <w:jc w:val="both"/>
        <w:rPr>
          <w:rFonts w:ascii="Times New Roman" w:hAnsi="Times New Roman" w:cs="Times New Roman"/>
          <w:sz w:val="24"/>
          <w:szCs w:val="24"/>
        </w:rPr>
      </w:pPr>
      <w:r w:rsidRPr="00394566">
        <w:rPr>
          <w:rFonts w:ascii="Times New Roman" w:hAnsi="Times New Roman" w:cs="Times New Roman"/>
          <w:sz w:val="24"/>
          <w:szCs w:val="24"/>
        </w:rPr>
        <w:t xml:space="preserve">Svarbiausias to laikotarpio istorinis įvykis Europoje buvo naujos ATR Konstitucijos priėmimas, kurią Seimas priėmė 1791 m. gegužės 3 d. Konstitucija įtvirtino pagrindinius reformų ir  valstybės santvarkos organizavimo principus, pakeitė valstybės politinę struktūrą, patvirtintos bajorų, miestiečių ir laisvųjų valstiečių teisės bei privilegijos. Panaikintas karalių rinkimas, įvesta paveldima konstitucinė monarchija. Panaikinta bajorų veto teisė, Seime klausimai buvo sprendžiami balsų dauguma. Valstybės aukščiausioji valdžia pirmą kartą istorijoje suskirstyta į įstatymų leidžiamąją (Seimas) , vykdomąją ir teisminę. 1791 m. spalio 20 d. Seimas priėmė „Abiejų tautų savitarpio garantijos įstatymą“, kuriuo buvo įteisintas LDK, kaip lygiateisės Lenkijos partnerės federacinėje valstybėje statusas, nustatytas lygus LDK ir Lenkijos narių  skaičius ir lygios teisės bendrose centrinės valdžios institucijose. Sėkmingai vykdyti Ketverių metų Seimo  reformas buvo galima dėl pasikeitusios to meto geopolitinės padėties ir jėgų santykio  Europoje. 1787 m. prasidėjo Rusijos-Turkijos karas , todėl Rusija buvo priversta išvesti savo kariuomenę iš ATR teritorijos ir negalėjo  taip grubiai kištis į jos vidaus reikalus. Karui pasibaigus Rusijos   pergale, 1792 m. buvo sudaryta taikos sutartis ir Rusija vėl pradėjo  telkti savo kariuomenę ATR pasienyje, ieškojo progos, kaip vėl įvesti savo kariuomenę į ATR teritoriją  ir kištis į jos valdymą. Tokia proga atsirado, kai reformų ir Gegužės 3-sios Konstitucijos priešininkai susijungė į </w:t>
      </w:r>
      <w:proofErr w:type="spellStart"/>
      <w:r w:rsidRPr="00394566">
        <w:rPr>
          <w:rFonts w:ascii="Times New Roman" w:hAnsi="Times New Roman" w:cs="Times New Roman"/>
          <w:sz w:val="24"/>
          <w:szCs w:val="24"/>
        </w:rPr>
        <w:t>Targovicos</w:t>
      </w:r>
      <w:proofErr w:type="spellEnd"/>
      <w:r w:rsidRPr="00394566">
        <w:rPr>
          <w:rFonts w:ascii="Times New Roman" w:hAnsi="Times New Roman" w:cs="Times New Roman"/>
          <w:sz w:val="24"/>
          <w:szCs w:val="24"/>
        </w:rPr>
        <w:t xml:space="preserve"> (Ukraina) konfederaciją ir paprašė Rusijos paramos. Konfederacijos iniciatoriai buvo generolas </w:t>
      </w:r>
      <w:proofErr w:type="spellStart"/>
      <w:r w:rsidRPr="00394566">
        <w:rPr>
          <w:rFonts w:ascii="Times New Roman" w:hAnsi="Times New Roman" w:cs="Times New Roman"/>
          <w:sz w:val="24"/>
          <w:szCs w:val="24"/>
        </w:rPr>
        <w:t>F.Potockis</w:t>
      </w:r>
      <w:proofErr w:type="spellEnd"/>
      <w:r w:rsidRPr="00394566">
        <w:rPr>
          <w:rFonts w:ascii="Times New Roman" w:hAnsi="Times New Roman" w:cs="Times New Roman"/>
          <w:sz w:val="24"/>
          <w:szCs w:val="24"/>
        </w:rPr>
        <w:t xml:space="preserve">, etmonai </w:t>
      </w:r>
      <w:proofErr w:type="spellStart"/>
      <w:r w:rsidRPr="00394566">
        <w:rPr>
          <w:rFonts w:ascii="Times New Roman" w:hAnsi="Times New Roman" w:cs="Times New Roman"/>
          <w:sz w:val="24"/>
          <w:szCs w:val="24"/>
        </w:rPr>
        <w:t>S.Ževuckis</w:t>
      </w:r>
      <w:proofErr w:type="spellEnd"/>
      <w:r w:rsidRPr="00394566">
        <w:rPr>
          <w:rFonts w:ascii="Times New Roman" w:hAnsi="Times New Roman" w:cs="Times New Roman"/>
          <w:sz w:val="24"/>
          <w:szCs w:val="24"/>
        </w:rPr>
        <w:t xml:space="preserve">, F.K </w:t>
      </w:r>
      <w:proofErr w:type="spellStart"/>
      <w:r w:rsidRPr="00394566">
        <w:rPr>
          <w:rFonts w:ascii="Times New Roman" w:hAnsi="Times New Roman" w:cs="Times New Roman"/>
          <w:sz w:val="24"/>
          <w:szCs w:val="24"/>
        </w:rPr>
        <w:t>Branickis</w:t>
      </w:r>
      <w:proofErr w:type="spellEnd"/>
      <w:r w:rsidRPr="00394566">
        <w:rPr>
          <w:rFonts w:ascii="Times New Roman" w:hAnsi="Times New Roman" w:cs="Times New Roman"/>
          <w:sz w:val="24"/>
          <w:szCs w:val="24"/>
        </w:rPr>
        <w:t xml:space="preserve"> ir kiti lenkų didikai, viso 14 didikų. Jie reikalavo grąžinti panaikintas privilegijas ir iki reformų  buvusią valstybės santvarką. </w:t>
      </w:r>
      <w:proofErr w:type="spellStart"/>
      <w:r w:rsidRPr="00394566">
        <w:rPr>
          <w:rFonts w:ascii="Times New Roman" w:hAnsi="Times New Roman" w:cs="Times New Roman"/>
          <w:sz w:val="24"/>
          <w:szCs w:val="24"/>
        </w:rPr>
        <w:t>Konfederatai</w:t>
      </w:r>
      <w:proofErr w:type="spellEnd"/>
      <w:r w:rsidRPr="00394566">
        <w:rPr>
          <w:rFonts w:ascii="Times New Roman" w:hAnsi="Times New Roman" w:cs="Times New Roman"/>
          <w:sz w:val="24"/>
          <w:szCs w:val="24"/>
        </w:rPr>
        <w:t xml:space="preserve">, tarpininkaujant Rusijai 1792 m. balandžio 27 d. pasirašė </w:t>
      </w:r>
      <w:proofErr w:type="spellStart"/>
      <w:r w:rsidRPr="00394566">
        <w:rPr>
          <w:rFonts w:ascii="Times New Roman" w:hAnsi="Times New Roman" w:cs="Times New Roman"/>
          <w:sz w:val="24"/>
          <w:szCs w:val="24"/>
        </w:rPr>
        <w:t>Targovicos</w:t>
      </w:r>
      <w:proofErr w:type="spellEnd"/>
      <w:r w:rsidRPr="00394566">
        <w:rPr>
          <w:rFonts w:ascii="Times New Roman" w:hAnsi="Times New Roman" w:cs="Times New Roman"/>
          <w:sz w:val="24"/>
          <w:szCs w:val="24"/>
        </w:rPr>
        <w:t xml:space="preserve"> konfederacijos manifestą, o po mėnesio Rusijos kariuomenė,  nepaskelbusi karo, keturiose vietose peržengė ATR sieną. Nesulaukusi rimtesnio  pasipriešinimo Rusijos kariuomenė be mūšio užėmė Kauną, Vilnių, vėliau Varšuvą ir kitas teritorijas. Rusijos okupuotose teritorijose valdžia atiteko </w:t>
      </w:r>
      <w:proofErr w:type="spellStart"/>
      <w:r w:rsidRPr="00394566">
        <w:rPr>
          <w:rFonts w:ascii="Times New Roman" w:hAnsi="Times New Roman" w:cs="Times New Roman"/>
          <w:sz w:val="24"/>
          <w:szCs w:val="24"/>
        </w:rPr>
        <w:t>Targovicos</w:t>
      </w:r>
      <w:proofErr w:type="spellEnd"/>
      <w:r w:rsidRPr="00394566">
        <w:rPr>
          <w:rFonts w:ascii="Times New Roman" w:hAnsi="Times New Roman" w:cs="Times New Roman"/>
          <w:sz w:val="24"/>
          <w:szCs w:val="24"/>
        </w:rPr>
        <w:t xml:space="preserve"> </w:t>
      </w:r>
      <w:proofErr w:type="spellStart"/>
      <w:r w:rsidRPr="00394566">
        <w:rPr>
          <w:rFonts w:ascii="Times New Roman" w:hAnsi="Times New Roman" w:cs="Times New Roman"/>
          <w:sz w:val="24"/>
          <w:szCs w:val="24"/>
        </w:rPr>
        <w:t>konfederatams</w:t>
      </w:r>
      <w:proofErr w:type="spellEnd"/>
      <w:r w:rsidRPr="00394566">
        <w:rPr>
          <w:rFonts w:ascii="Times New Roman" w:hAnsi="Times New Roman" w:cs="Times New Roman"/>
          <w:sz w:val="24"/>
          <w:szCs w:val="24"/>
        </w:rPr>
        <w:t xml:space="preserve">, kurių vadovu tapo LDK kancleris A. Sapiega. Karalius Stanislovas Augustas, nusivylęs savo kariuomenės galimybėmis priešintis  ir nesulaukęs pagalbos iš užsienio, pripažino </w:t>
      </w:r>
      <w:proofErr w:type="spellStart"/>
      <w:r w:rsidRPr="00394566">
        <w:rPr>
          <w:rFonts w:ascii="Times New Roman" w:hAnsi="Times New Roman" w:cs="Times New Roman"/>
          <w:sz w:val="24"/>
          <w:szCs w:val="24"/>
        </w:rPr>
        <w:t>konfederatų</w:t>
      </w:r>
      <w:proofErr w:type="spellEnd"/>
      <w:r w:rsidRPr="00394566">
        <w:rPr>
          <w:rFonts w:ascii="Times New Roman" w:hAnsi="Times New Roman" w:cs="Times New Roman"/>
          <w:sz w:val="24"/>
          <w:szCs w:val="24"/>
        </w:rPr>
        <w:t xml:space="preserve"> valdžią. </w:t>
      </w:r>
      <w:proofErr w:type="spellStart"/>
      <w:r w:rsidRPr="00394566">
        <w:rPr>
          <w:rFonts w:ascii="Times New Roman" w:hAnsi="Times New Roman" w:cs="Times New Roman"/>
          <w:sz w:val="24"/>
          <w:szCs w:val="24"/>
        </w:rPr>
        <w:t>Targovicos</w:t>
      </w:r>
      <w:proofErr w:type="spellEnd"/>
      <w:r w:rsidRPr="00394566">
        <w:rPr>
          <w:rFonts w:ascii="Times New Roman" w:hAnsi="Times New Roman" w:cs="Times New Roman"/>
          <w:sz w:val="24"/>
          <w:szCs w:val="24"/>
        </w:rPr>
        <w:t xml:space="preserve"> konfederacija ir Rusijos kariuomenės įvedimas sudarė sąlygas įvykdyti</w:t>
      </w:r>
      <w:r w:rsidRPr="00394566">
        <w:rPr>
          <w:rFonts w:ascii="Times New Roman" w:hAnsi="Times New Roman" w:cs="Times New Roman"/>
          <w:i/>
          <w:iCs/>
          <w:sz w:val="24"/>
          <w:szCs w:val="24"/>
        </w:rPr>
        <w:t> antrąjį</w:t>
      </w:r>
      <w:r w:rsidRPr="00394566">
        <w:rPr>
          <w:rFonts w:ascii="Times New Roman" w:hAnsi="Times New Roman" w:cs="Times New Roman"/>
          <w:sz w:val="24"/>
          <w:szCs w:val="24"/>
        </w:rPr>
        <w:t> </w:t>
      </w:r>
      <w:r w:rsidRPr="00394566">
        <w:rPr>
          <w:rFonts w:ascii="Times New Roman" w:hAnsi="Times New Roman" w:cs="Times New Roman"/>
          <w:i/>
          <w:iCs/>
          <w:sz w:val="24"/>
          <w:szCs w:val="24"/>
        </w:rPr>
        <w:t>ATR teritorijos padalijimą.</w:t>
      </w:r>
      <w:r w:rsidRPr="00394566">
        <w:rPr>
          <w:rFonts w:ascii="Times New Roman" w:hAnsi="Times New Roman" w:cs="Times New Roman"/>
          <w:sz w:val="24"/>
          <w:szCs w:val="24"/>
        </w:rPr>
        <w:t xml:space="preserve"> 1793 m. sausio 23 d. Rusija su Prūsija sudarė sutartį antrą kartą pasidalyti ATR teritoriją. Austrija tame padalijime nedalyvavo, nes tuo metu kariavo su Prancūzija. Tais pačiais metais ATR buvo priversta pasirašyti traktatą su Rusija, pagal kurį jai atiteko Minsko, Kijevo, </w:t>
      </w:r>
      <w:proofErr w:type="spellStart"/>
      <w:r w:rsidRPr="00394566">
        <w:rPr>
          <w:rFonts w:ascii="Times New Roman" w:hAnsi="Times New Roman" w:cs="Times New Roman"/>
          <w:sz w:val="24"/>
          <w:szCs w:val="24"/>
        </w:rPr>
        <w:t>Braclavo</w:t>
      </w:r>
      <w:proofErr w:type="spellEnd"/>
      <w:r w:rsidRPr="00394566">
        <w:rPr>
          <w:rFonts w:ascii="Times New Roman" w:hAnsi="Times New Roman" w:cs="Times New Roman"/>
          <w:sz w:val="24"/>
          <w:szCs w:val="24"/>
        </w:rPr>
        <w:t xml:space="preserve"> ir </w:t>
      </w:r>
      <w:proofErr w:type="spellStart"/>
      <w:r w:rsidRPr="00394566">
        <w:rPr>
          <w:rFonts w:ascii="Times New Roman" w:hAnsi="Times New Roman" w:cs="Times New Roman"/>
          <w:sz w:val="24"/>
          <w:szCs w:val="24"/>
        </w:rPr>
        <w:t>Podolės</w:t>
      </w:r>
      <w:proofErr w:type="spellEnd"/>
      <w:r w:rsidRPr="00394566">
        <w:rPr>
          <w:rFonts w:ascii="Times New Roman" w:hAnsi="Times New Roman" w:cs="Times New Roman"/>
          <w:sz w:val="24"/>
          <w:szCs w:val="24"/>
        </w:rPr>
        <w:t xml:space="preserve"> </w:t>
      </w:r>
      <w:r w:rsidRPr="00394566">
        <w:rPr>
          <w:rFonts w:ascii="Times New Roman" w:hAnsi="Times New Roman" w:cs="Times New Roman"/>
          <w:sz w:val="24"/>
          <w:szCs w:val="24"/>
        </w:rPr>
        <w:lastRenderedPageBreak/>
        <w:t xml:space="preserve">vaivadijos, taip pat dalis Vilniaus, Naugarduko, Bresto ir </w:t>
      </w:r>
      <w:proofErr w:type="spellStart"/>
      <w:r w:rsidRPr="00394566">
        <w:rPr>
          <w:rFonts w:ascii="Times New Roman" w:hAnsi="Times New Roman" w:cs="Times New Roman"/>
          <w:sz w:val="24"/>
          <w:szCs w:val="24"/>
        </w:rPr>
        <w:t>Volynės</w:t>
      </w:r>
      <w:proofErr w:type="spellEnd"/>
      <w:r w:rsidRPr="00394566">
        <w:rPr>
          <w:rFonts w:ascii="Times New Roman" w:hAnsi="Times New Roman" w:cs="Times New Roman"/>
          <w:sz w:val="24"/>
          <w:szCs w:val="24"/>
        </w:rPr>
        <w:t xml:space="preserve"> vaivadijų. Su Prūsija priverstinai pasirašyta sutartimi jai atiteko Vakarinės Lenkijos žemės: Gdanskas ir </w:t>
      </w:r>
      <w:proofErr w:type="spellStart"/>
      <w:r w:rsidRPr="00394566">
        <w:rPr>
          <w:rFonts w:ascii="Times New Roman" w:hAnsi="Times New Roman" w:cs="Times New Roman"/>
          <w:sz w:val="24"/>
          <w:szCs w:val="24"/>
        </w:rPr>
        <w:t>Torūnė</w:t>
      </w:r>
      <w:proofErr w:type="spellEnd"/>
      <w:r w:rsidRPr="00394566">
        <w:rPr>
          <w:rFonts w:ascii="Times New Roman" w:hAnsi="Times New Roman" w:cs="Times New Roman"/>
          <w:sz w:val="24"/>
          <w:szCs w:val="24"/>
        </w:rPr>
        <w:t xml:space="preserve">, Gniezno, Poznanės ir kt. žemės, taip pat dalis Krokuvos ir </w:t>
      </w:r>
      <w:proofErr w:type="spellStart"/>
      <w:r w:rsidRPr="00394566">
        <w:rPr>
          <w:rFonts w:ascii="Times New Roman" w:hAnsi="Times New Roman" w:cs="Times New Roman"/>
          <w:sz w:val="24"/>
          <w:szCs w:val="24"/>
        </w:rPr>
        <w:t>Mozūrijos</w:t>
      </w:r>
      <w:proofErr w:type="spellEnd"/>
      <w:r w:rsidRPr="00394566">
        <w:rPr>
          <w:rFonts w:ascii="Times New Roman" w:hAnsi="Times New Roman" w:cs="Times New Roman"/>
          <w:sz w:val="24"/>
          <w:szCs w:val="24"/>
        </w:rPr>
        <w:t xml:space="preserve"> vaivadijų. ATR neteko apie 50 procentų savo teritorijos ir tapo dar labiau priklausoma nuo užsienio valstybių. Siekdama įteisinti II ATR teritorijos padalijimą ir priversti ją sudaryti naują sąjungos  ir garantijos su Rusija sutartį,  </w:t>
      </w:r>
      <w:proofErr w:type="spellStart"/>
      <w:r w:rsidRPr="00394566">
        <w:rPr>
          <w:rFonts w:ascii="Times New Roman" w:hAnsi="Times New Roman" w:cs="Times New Roman"/>
          <w:sz w:val="24"/>
          <w:szCs w:val="24"/>
        </w:rPr>
        <w:t>imperatorė</w:t>
      </w:r>
      <w:proofErr w:type="spellEnd"/>
      <w:r w:rsidRPr="00394566">
        <w:rPr>
          <w:rFonts w:ascii="Times New Roman" w:hAnsi="Times New Roman" w:cs="Times New Roman"/>
          <w:sz w:val="24"/>
          <w:szCs w:val="24"/>
        </w:rPr>
        <w:t xml:space="preserve"> Jekaterina II pareikalavo sušaukti ATR Seimą. Paskutinis ATR seimas Rusijos okupacijos sąlygomis posėdžiavo Gardine 1793 m. birželio-lapkričio mėnesiais. Pradžioje dauguma Seimo narių protestavo prieš ATR teritorijos padalijimą ir naujas sąjungos su  Prūsija ir Rusija sutartis, tačiau Rusijos atstovai ėmėsi represijų. Į Seimo salę įsiveržė rusų karininkai, suėmė ir išsivežė 5 protestuotojus ir pareikalavo besąlygiškai patvirtinti  ATR teritorijos  padalijimą bei pasirašyti naujas sutartis su Prūsija ir Rusija. Seimo nariams buvo pranešta, kad jie bus išleisti iš salės tik po šių sutarčių pasirašymo. 1793 m. rugsėjo 23 d. buvo pasirašyta sutartis su Prūsija, o tų pačių metų spalio 10 d. sutartis su Rusija.  Rusijai  buvo pripažinta teisė laikyti ATR teritorijoje savo kariuomenę, ją laisvai įvesti ir išvesti, karo atveju vadovauti ATR kariuomenei, sudarinėti tarptautines sutartis tiktai su Rusijos sutikimu, atstovauti ATR tose valstybėse, kuriose ji neturi savo pasiuntinių.  Seimas priėmė eilę įstatymų, kuriais sumažino ATR kariuomenę iki  15 000 karių,  panaikino daugelį </w:t>
      </w:r>
      <w:proofErr w:type="spellStart"/>
      <w:r w:rsidRPr="00394566">
        <w:rPr>
          <w:rFonts w:ascii="Times New Roman" w:hAnsi="Times New Roman" w:cs="Times New Roman"/>
          <w:sz w:val="24"/>
          <w:szCs w:val="24"/>
        </w:rPr>
        <w:t>Targovicos</w:t>
      </w:r>
      <w:proofErr w:type="spellEnd"/>
      <w:r w:rsidRPr="00394566">
        <w:rPr>
          <w:rFonts w:ascii="Times New Roman" w:hAnsi="Times New Roman" w:cs="Times New Roman"/>
          <w:sz w:val="24"/>
          <w:szCs w:val="24"/>
        </w:rPr>
        <w:t xml:space="preserve"> konferencijos nutarimų,  1791 m. Gegužės 3-sios konstitucijos galiojimą atkūrė,  Rusijai palankią Nuolatinę tarybą ir patvirtino naują ATR konstituciją.  Tuo buvo gražinta 1775 metais galiojusi valstybės santvarka.</w:t>
      </w:r>
    </w:p>
    <w:p w14:paraId="039754E3" w14:textId="7E445E23" w:rsidR="001F3D81" w:rsidRPr="001F3D81" w:rsidRDefault="003006F9" w:rsidP="003006F9">
      <w:pPr>
        <w:jc w:val="both"/>
        <w:rPr>
          <w:rFonts w:ascii="Times New Roman" w:hAnsi="Times New Roman" w:cs="Times New Roman"/>
          <w:sz w:val="24"/>
          <w:szCs w:val="24"/>
        </w:rPr>
      </w:pPr>
      <w:r w:rsidRPr="00394566">
        <w:rPr>
          <w:rFonts w:ascii="Times New Roman" w:hAnsi="Times New Roman" w:cs="Times New Roman"/>
          <w:sz w:val="24"/>
          <w:szCs w:val="24"/>
        </w:rPr>
        <w:t xml:space="preserve"> </w:t>
      </w:r>
      <w:r w:rsidR="001F3D81" w:rsidRPr="001F3D81">
        <w:rPr>
          <w:rFonts w:ascii="Times New Roman" w:hAnsi="Times New Roman" w:cs="Times New Roman"/>
          <w:b/>
          <w:bCs/>
          <w:sz w:val="24"/>
          <w:szCs w:val="24"/>
        </w:rPr>
        <w:t>Ar 1791 m. gegužės 3 d. Konstitucija panaikino Lietuvos vardą i</w:t>
      </w:r>
      <w:r w:rsidR="001F3D81" w:rsidRPr="001F3D81">
        <w:rPr>
          <w:rFonts w:ascii="Times New Roman" w:hAnsi="Times New Roman" w:cs="Times New Roman"/>
          <w:sz w:val="24"/>
          <w:szCs w:val="24"/>
        </w:rPr>
        <w:t xml:space="preserve"> Lietuvos Respublikos Seime 2021 m. spalio 19 d., dalyvaujant Lenkijos Respublikos prezidentui Andžejui </w:t>
      </w:r>
      <w:proofErr w:type="spellStart"/>
      <w:r w:rsidR="001F3D81" w:rsidRPr="001F3D81">
        <w:rPr>
          <w:rFonts w:ascii="Times New Roman" w:hAnsi="Times New Roman" w:cs="Times New Roman"/>
          <w:sz w:val="24"/>
          <w:szCs w:val="24"/>
        </w:rPr>
        <w:t>Dudai</w:t>
      </w:r>
      <w:proofErr w:type="spellEnd"/>
      <w:r w:rsidR="001F3D81" w:rsidRPr="001F3D81">
        <w:rPr>
          <w:rFonts w:ascii="Times New Roman" w:hAnsi="Times New Roman" w:cs="Times New Roman"/>
          <w:sz w:val="24"/>
          <w:szCs w:val="24"/>
        </w:rPr>
        <w:t xml:space="preserve"> ir Lietuvos Respublikos prezidentui </w:t>
      </w:r>
      <w:proofErr w:type="spellStart"/>
      <w:r w:rsidR="001F3D81" w:rsidRPr="001F3D81">
        <w:rPr>
          <w:rFonts w:ascii="Times New Roman" w:hAnsi="Times New Roman" w:cs="Times New Roman"/>
          <w:sz w:val="24"/>
          <w:szCs w:val="24"/>
        </w:rPr>
        <w:t>Gitanui</w:t>
      </w:r>
      <w:proofErr w:type="spellEnd"/>
      <w:r w:rsidR="001F3D81" w:rsidRPr="001F3D81">
        <w:rPr>
          <w:rFonts w:ascii="Times New Roman" w:hAnsi="Times New Roman" w:cs="Times New Roman"/>
          <w:sz w:val="24"/>
          <w:szCs w:val="24"/>
        </w:rPr>
        <w:t xml:space="preserve"> Nausėdai buvo iškilmingai paminėta šios Konstitucijos  230 metų sukaktis. Abu prezidentai savo kalbose pabrėžė Konstitucijos reikšmę Lietuvos ir Lenkijos valstybių raidai ir ateities kartoms.</w:t>
      </w:r>
    </w:p>
    <w:p w14:paraId="5FA02BC1" w14:textId="77777777" w:rsidR="001F3D81" w:rsidRPr="001F3D81" w:rsidRDefault="001F3D81" w:rsidP="003006F9">
      <w:pPr>
        <w:jc w:val="both"/>
        <w:rPr>
          <w:rFonts w:ascii="Times New Roman" w:hAnsi="Times New Roman" w:cs="Times New Roman"/>
          <w:sz w:val="24"/>
          <w:szCs w:val="24"/>
        </w:rPr>
      </w:pPr>
      <w:r w:rsidRPr="001F3D81">
        <w:rPr>
          <w:rFonts w:ascii="Times New Roman" w:hAnsi="Times New Roman" w:cs="Times New Roman"/>
          <w:sz w:val="24"/>
          <w:szCs w:val="24"/>
        </w:rPr>
        <w:t xml:space="preserve">Kalbėdamas apie Konstitucijos sudėtines dalis- 1791 m. gegužės 5 d. „Valdžios įstatymą“ ir 1791 m. spalio 20 d. „Abiejų Tautų Tarpusavio įsipareigojimo įstatymą“-Tarpusavio įžado aktą, prezidentas Gitanas Nausėda pabrėžė, kad </w:t>
      </w:r>
      <w:proofErr w:type="spellStart"/>
      <w:r w:rsidRPr="001F3D81">
        <w:rPr>
          <w:rFonts w:ascii="Times New Roman" w:hAnsi="Times New Roman" w:cs="Times New Roman"/>
          <w:sz w:val="24"/>
          <w:szCs w:val="24"/>
        </w:rPr>
        <w:t>pirmąjame</w:t>
      </w:r>
      <w:proofErr w:type="spellEnd"/>
      <w:r w:rsidRPr="001F3D81">
        <w:rPr>
          <w:rFonts w:ascii="Times New Roman" w:hAnsi="Times New Roman" w:cs="Times New Roman"/>
          <w:sz w:val="24"/>
          <w:szCs w:val="24"/>
        </w:rPr>
        <w:t xml:space="preserve"> įstatyme neišnyko žodžiai „Abiejų Tautų“. Cituoja Trakų kaštelioną Pliaterį, kuris teigė,“ „</w:t>
      </w:r>
      <w:r w:rsidRPr="001F3D81">
        <w:rPr>
          <w:rFonts w:ascii="Times New Roman" w:hAnsi="Times New Roman" w:cs="Times New Roman"/>
          <w:i/>
          <w:iCs/>
          <w:sz w:val="24"/>
          <w:szCs w:val="24"/>
        </w:rPr>
        <w:t>būdama sąjungoje, Lietuva negali būti laikoma provincija bendrame kūne, ji turi būti laikoma viena tauta šalia kitos“.</w:t>
      </w:r>
      <w:r w:rsidRPr="001F3D81">
        <w:rPr>
          <w:rFonts w:ascii="Times New Roman" w:hAnsi="Times New Roman" w:cs="Times New Roman"/>
          <w:sz w:val="24"/>
          <w:szCs w:val="24"/>
        </w:rPr>
        <w:t> Tuo tarpu antras  1791 metų spalio 20 d. priimtas“ </w:t>
      </w:r>
      <w:r w:rsidRPr="001F3D81">
        <w:rPr>
          <w:rFonts w:ascii="Times New Roman" w:hAnsi="Times New Roman" w:cs="Times New Roman"/>
          <w:i/>
          <w:iCs/>
          <w:sz w:val="24"/>
          <w:szCs w:val="24"/>
        </w:rPr>
        <w:t xml:space="preserve">Abiejų Tautų Tarpusavio įžadas būtent ir atspindėjo natūralią  bendros valstybės politinę evoliuciją nuo Liublino unijos iki Apšvietos epochos, kuris šiandien gali būti skaitomas tik kartu su Gegužės 3-iosios Konstitucija., &lt;… galutinai įteisino politinę </w:t>
      </w:r>
      <w:proofErr w:type="spellStart"/>
      <w:r w:rsidRPr="001F3D81">
        <w:rPr>
          <w:rFonts w:ascii="Times New Roman" w:hAnsi="Times New Roman" w:cs="Times New Roman"/>
          <w:i/>
          <w:iCs/>
          <w:sz w:val="24"/>
          <w:szCs w:val="24"/>
        </w:rPr>
        <w:t>dvinarystę</w:t>
      </w:r>
      <w:proofErr w:type="spellEnd"/>
      <w:r w:rsidRPr="001F3D81">
        <w:rPr>
          <w:rFonts w:ascii="Times New Roman" w:hAnsi="Times New Roman" w:cs="Times New Roman"/>
          <w:i/>
          <w:iCs/>
          <w:sz w:val="24"/>
          <w:szCs w:val="24"/>
        </w:rPr>
        <w:t xml:space="preserve"> ir Lietuvos, kaip lygiavertės Lenkijos partnerės federacinėje valstybėje, statusą…&gt;“</w:t>
      </w:r>
      <w:r w:rsidRPr="001F3D81">
        <w:rPr>
          <w:rFonts w:ascii="Times New Roman" w:hAnsi="Times New Roman" w:cs="Times New Roman"/>
          <w:sz w:val="24"/>
          <w:szCs w:val="24"/>
        </w:rPr>
        <w:t xml:space="preserve">Tačiau Lietuvos ir Lenkijos istorijos tyrėjų tarpe išsiskyrė dvi nuomonės tuo klausimu. Vieni autoriai teigia, kad Konstitucija įtvirtino ir padėjo išlaikyti Lietuvos valstybingumą federacinėje Abiejų Tautų Respublikos valstybėje iki pat jos sužlugdymo. Kiti mano priešingai, kad Konstitucija visiems laikams ištrynė Lietuvos  vardą iš Europos žemėlapio ir panaikino jos valstybingumą, pavertė ją Lenkijos karalystės provincija. Pavyzdžiui prof. </w:t>
      </w:r>
      <w:proofErr w:type="spellStart"/>
      <w:r w:rsidRPr="001F3D81">
        <w:rPr>
          <w:rFonts w:ascii="Times New Roman" w:hAnsi="Times New Roman" w:cs="Times New Roman"/>
          <w:sz w:val="24"/>
          <w:szCs w:val="24"/>
        </w:rPr>
        <w:t>habil.dr</w:t>
      </w:r>
      <w:proofErr w:type="spellEnd"/>
      <w:r w:rsidRPr="001F3D81">
        <w:rPr>
          <w:rFonts w:ascii="Times New Roman" w:hAnsi="Times New Roman" w:cs="Times New Roman"/>
          <w:sz w:val="24"/>
          <w:szCs w:val="24"/>
        </w:rPr>
        <w:t>. Alfonsas Vaišvila straipsnyje „Ką norime atsiminti , atsimindami 1791 m. gegužės 3 d. Konstituciją?“ („Respublika“ 2021 m. spalio 19 d.) rašo, cituoju: </w:t>
      </w:r>
      <w:r w:rsidRPr="001F3D81">
        <w:rPr>
          <w:rFonts w:ascii="Times New Roman" w:hAnsi="Times New Roman" w:cs="Times New Roman"/>
          <w:i/>
          <w:iCs/>
          <w:sz w:val="24"/>
          <w:szCs w:val="24"/>
        </w:rPr>
        <w:t>„Gegužės 3-ios konstitucijos priėmimo dienos paskelbimą Lietuvai Atmintina diena , sunku pavadinti kitaip, kaip valstybingumo iškeitimą į Lenkijos provincijos statusą</w:t>
      </w:r>
      <w:r w:rsidRPr="001F3D81">
        <w:rPr>
          <w:rFonts w:ascii="Times New Roman" w:hAnsi="Times New Roman" w:cs="Times New Roman"/>
          <w:sz w:val="24"/>
          <w:szCs w:val="24"/>
        </w:rPr>
        <w:t>.“ Žinoma, demokratinėje valstybėje kiekvienas autorius turi teisę laisvai reikšti savo idėjas ir pažiūras. Skaitytojo valia pritarti ar nepritarti vienai ar kitai nuomonei. Vis tik atsakant į čia iškeltą klausimą verta atsižvelgti ir pasigilinti ir į priešingos nuomonės Lietuvos ir užsienio šalių istorikų to  laikotarpio  istorinių aplinkybių vertinimą </w:t>
      </w:r>
      <w:r w:rsidRPr="001F3D81">
        <w:rPr>
          <w:rFonts w:ascii="Times New Roman" w:hAnsi="Times New Roman" w:cs="Times New Roman"/>
          <w:i/>
          <w:iCs/>
          <w:sz w:val="24"/>
          <w:szCs w:val="24"/>
        </w:rPr>
        <w:t>de facto ir de jure </w:t>
      </w:r>
      <w:r w:rsidRPr="001F3D81">
        <w:rPr>
          <w:rFonts w:ascii="Times New Roman" w:hAnsi="Times New Roman" w:cs="Times New Roman"/>
          <w:sz w:val="24"/>
          <w:szCs w:val="24"/>
        </w:rPr>
        <w:t xml:space="preserve">bei argumentus. Atsižvelgiant į tai galima konstatuoti, kad Gegužės 3-iosios Konstitucija ir jos sudedamosios dalys-konstituciniai įstatymai įtvirtino Lietuvos  (Lietuvos Didžiosios Kunigaikštystės) vardą, </w:t>
      </w:r>
      <w:r w:rsidRPr="001F3D81">
        <w:rPr>
          <w:rFonts w:ascii="Times New Roman" w:hAnsi="Times New Roman" w:cs="Times New Roman"/>
          <w:sz w:val="24"/>
          <w:szCs w:val="24"/>
        </w:rPr>
        <w:lastRenderedPageBreak/>
        <w:t>valstybingumą ir lygias teises Abiejų Tautų Respublikos valstybėje  ir tai sudarė sąlygas jai gyvuoti iki pat šios valstybės sunaikinimo 1795 metais.</w:t>
      </w:r>
    </w:p>
    <w:p w14:paraId="1EBB7A29" w14:textId="77777777" w:rsidR="001F3D81" w:rsidRPr="001F3D81" w:rsidRDefault="001F3D81" w:rsidP="003006F9">
      <w:pPr>
        <w:jc w:val="both"/>
        <w:rPr>
          <w:rFonts w:ascii="Times New Roman" w:hAnsi="Times New Roman" w:cs="Times New Roman"/>
          <w:sz w:val="24"/>
          <w:szCs w:val="24"/>
        </w:rPr>
      </w:pPr>
      <w:r w:rsidRPr="001F3D81">
        <w:rPr>
          <w:rFonts w:ascii="Times New Roman" w:hAnsi="Times New Roman" w:cs="Times New Roman"/>
          <w:sz w:val="24"/>
          <w:szCs w:val="24"/>
        </w:rPr>
        <w:t>Prof. habil. dr. Mečislovas Jučas taip įvertino 1791 m. Gegužės 3-iosios Konstitucijos ir Ketverių metų Seimo reformų laikotarpį: „</w:t>
      </w:r>
      <w:r w:rsidRPr="001F3D81">
        <w:rPr>
          <w:rFonts w:ascii="Times New Roman" w:hAnsi="Times New Roman" w:cs="Times New Roman"/>
          <w:i/>
          <w:iCs/>
          <w:sz w:val="24"/>
          <w:szCs w:val="24"/>
        </w:rPr>
        <w:t>Konstitucija parodė galingą valstybės reformatorių mintį, jų patriotizmą ir pilietinį požiūrį į valstybės likimą. Konstitucija yra ir mūsų protėvių atlikta gili istorinė pamoka, Respublikos simbolis, netgi testamentas ateinančioms kartoms. Lietuva, jos miestai bei miesteliai ir netgi kaimas dar ilgai gyveno Gegužės 3 d. konstitucijos dvasia ir tai parodė savo dažnomis peticijomis caro valdžiai.“ </w:t>
      </w:r>
      <w:r w:rsidRPr="001F3D81">
        <w:rPr>
          <w:rFonts w:ascii="Times New Roman" w:hAnsi="Times New Roman" w:cs="Times New Roman"/>
          <w:b/>
          <w:bCs/>
          <w:i/>
          <w:iCs/>
          <w:sz w:val="24"/>
          <w:szCs w:val="24"/>
        </w:rPr>
        <w:t> (</w:t>
      </w:r>
      <w:r w:rsidRPr="001F3D81">
        <w:rPr>
          <w:rFonts w:ascii="Times New Roman" w:hAnsi="Times New Roman" w:cs="Times New Roman"/>
          <w:i/>
          <w:iCs/>
          <w:sz w:val="24"/>
          <w:szCs w:val="24"/>
        </w:rPr>
        <w:t>https://www.lrs.lt.&gt;sip&gt;portal ).   </w:t>
      </w:r>
      <w:r w:rsidRPr="001F3D81">
        <w:rPr>
          <w:rFonts w:ascii="Times New Roman" w:hAnsi="Times New Roman" w:cs="Times New Roman"/>
          <w:sz w:val="24"/>
          <w:szCs w:val="24"/>
        </w:rPr>
        <w:t>Tai patvirtina ir naujausias tyrimas –</w:t>
      </w:r>
      <w:proofErr w:type="spellStart"/>
      <w:r w:rsidRPr="001F3D81">
        <w:rPr>
          <w:rFonts w:ascii="Times New Roman" w:hAnsi="Times New Roman" w:cs="Times New Roman"/>
          <w:i/>
          <w:iCs/>
          <w:sz w:val="24"/>
          <w:szCs w:val="24"/>
        </w:rPr>
        <w:t>Richard</w:t>
      </w:r>
      <w:proofErr w:type="spellEnd"/>
    </w:p>
    <w:p w14:paraId="194A31B7" w14:textId="77777777" w:rsidR="001F3D81" w:rsidRPr="001F3D81" w:rsidRDefault="001F3D81" w:rsidP="003006F9">
      <w:pPr>
        <w:jc w:val="both"/>
        <w:rPr>
          <w:rFonts w:ascii="Times New Roman" w:hAnsi="Times New Roman" w:cs="Times New Roman"/>
          <w:sz w:val="24"/>
          <w:szCs w:val="24"/>
        </w:rPr>
      </w:pPr>
      <w:proofErr w:type="spellStart"/>
      <w:r w:rsidRPr="001F3D81">
        <w:rPr>
          <w:rFonts w:ascii="Times New Roman" w:hAnsi="Times New Roman" w:cs="Times New Roman"/>
          <w:i/>
          <w:iCs/>
          <w:sz w:val="24"/>
          <w:szCs w:val="24"/>
        </w:rPr>
        <w:t>Butterwick</w:t>
      </w:r>
      <w:proofErr w:type="spellEnd"/>
      <w:r w:rsidRPr="001F3D81">
        <w:rPr>
          <w:rFonts w:ascii="Times New Roman" w:hAnsi="Times New Roman" w:cs="Times New Roman"/>
          <w:i/>
          <w:iCs/>
          <w:sz w:val="24"/>
          <w:szCs w:val="24"/>
        </w:rPr>
        <w:t xml:space="preserve"> knyga „ 1791 m. gegužės 3 d. Konstitucija. Abiejų Tautų Respublikos testamentas.“ (Vilnius: Lietuvos istorijos institutas, 2021). </w:t>
      </w:r>
      <w:r w:rsidRPr="001F3D81">
        <w:rPr>
          <w:rFonts w:ascii="Times New Roman" w:hAnsi="Times New Roman" w:cs="Times New Roman"/>
          <w:sz w:val="24"/>
          <w:szCs w:val="24"/>
        </w:rPr>
        <w:t>Pridedama šios knygos autoriaus pratarmė.</w:t>
      </w:r>
    </w:p>
    <w:p w14:paraId="4E620382" w14:textId="77777777" w:rsidR="001F3D81" w:rsidRPr="001F3D81" w:rsidRDefault="001F3D81" w:rsidP="003006F9">
      <w:pPr>
        <w:jc w:val="both"/>
        <w:rPr>
          <w:rFonts w:ascii="Times New Roman" w:hAnsi="Times New Roman" w:cs="Times New Roman"/>
          <w:sz w:val="24"/>
          <w:szCs w:val="24"/>
        </w:rPr>
      </w:pPr>
      <w:r w:rsidRPr="001F3D81">
        <w:rPr>
          <w:rFonts w:ascii="Times New Roman" w:hAnsi="Times New Roman" w:cs="Times New Roman"/>
          <w:i/>
          <w:iCs/>
          <w:sz w:val="24"/>
          <w:szCs w:val="24"/>
        </w:rPr>
        <w:t>PRATARMĖ</w:t>
      </w:r>
    </w:p>
    <w:p w14:paraId="212D7DC0" w14:textId="77777777" w:rsidR="001F3D81" w:rsidRPr="001F3D81" w:rsidRDefault="001F3D81" w:rsidP="003006F9">
      <w:pPr>
        <w:jc w:val="both"/>
        <w:rPr>
          <w:rFonts w:ascii="Times New Roman" w:hAnsi="Times New Roman" w:cs="Times New Roman"/>
          <w:sz w:val="24"/>
          <w:szCs w:val="24"/>
        </w:rPr>
      </w:pPr>
      <w:r w:rsidRPr="001F3D81">
        <w:rPr>
          <w:rFonts w:ascii="Times New Roman" w:hAnsi="Times New Roman" w:cs="Times New Roman"/>
          <w:sz w:val="24"/>
          <w:szCs w:val="24"/>
        </w:rPr>
        <w:t xml:space="preserve">Šiuos žodžius itin malonu rašyti Lietuvos nepriklausomybės atkūrimo 103-iųjų metinių proga. Šis įvykis natūraliai kelia klausimą: o kada Lietuvos Didžioji Kunigaikštystė nustojo egzistuoti? Nebūtų kuo džiaugtis, jeigu atsakymas būtų „1791 m. gegužės 3 dieną“. Tačiau ilgą laiką tarp Lietuvos istorikų šiuo klausimu vyravo būtent tokia nuomonė. Išties „Valdymo įstatymo“ tekstas šiuo požiūriu gali kelti šiek tiek abejonių. Tačiau būtent gerbiamas nepriklausomos tarpukario Lietuvos istorikas Adolfas Šapoka buvo pirmasis, supratęs, kad Gegužės 3-iosios konstitucija ir ypač „Abiejų Tautų tarpusavio įsipareigojimas“, visuotinu pritarimu 1791 m. spalio 20 d. tapęs neatsiejama Konstitucijos dalimi, visame 1788–1792 m. Didžiojo seimo, lietuvių istoriografijoje įvardijamo Reformų arba Ketverių metų seimu, kontekste iš tikrųjų neištirpdė Didžiosios Kunigaikštytės Lenkijos karalystėje. Priešingai, nuostabiai harmoningai Lietuvos Didžiosios Kunigaikštystės statusas buvo sustiprintas per glaudesnį savanorišką dviejų skirtingų politinių bendruomenių, vadinamų tautomis, susijungimą į suvienytą 10 sąjungą, taip pat vadinamą tauta. Nuo to laiko tautų idėja gerokai pasikeitė. Šias įžvalgas Lietuvos ir Lenkijos istorikai bei konstitucijos žinovai iš naujo atrado po šalių suverenumo ir nepriklausomybės atkūrimo (dar kartą) 1989–1990 m. Tai atvėrė kelius daug kartų drauge švęsti šį nuostabų laimėjimą. Gegužės 3-iosios konstituciją parengė iškiliausi Abiejų Tautų Respublikos valstybininkai, išgryninę geriausias </w:t>
      </w:r>
      <w:proofErr w:type="spellStart"/>
      <w:r w:rsidRPr="001F3D81">
        <w:rPr>
          <w:rFonts w:ascii="Times New Roman" w:hAnsi="Times New Roman" w:cs="Times New Roman"/>
          <w:sz w:val="24"/>
          <w:szCs w:val="24"/>
        </w:rPr>
        <w:t>respublikoniškas</w:t>
      </w:r>
      <w:proofErr w:type="spellEnd"/>
      <w:r w:rsidRPr="001F3D81">
        <w:rPr>
          <w:rFonts w:ascii="Times New Roman" w:hAnsi="Times New Roman" w:cs="Times New Roman"/>
          <w:sz w:val="24"/>
          <w:szCs w:val="24"/>
        </w:rPr>
        <w:t xml:space="preserve"> savo šalies tradicijas ir papildę jas naudingiausiais užsienio parlamentinių monarchijų pavyzdžiais bei susieję su Apšvietos epochos politine mintimi. Konstituciją galima teisėtai vadinti pirmąja modernia Konstitucija Europoje. Maža to, ji liudija, kad Lenkijos-Lietuvos Respublika nežlugo dėl savo vidinių silpnybių. Priešingai, gyvybingumas, kuris matyti per jos spartų atsigavimą, tapo pavojingas jos kaimynėms – absoliutinėms monarchijoms – tiek geopolitiškai, tiek ideologiškai, todėl jos ir sunaikino savo varžovę drastiškai pakeisdamos Europos istorijos trajektoriją. Po dviejų šimtų trisdešimties metų ši Konstitucija vis dar gali įkvėpti tuos, kurie myli laisvę. Ši nedidelė knyga grindžiama tyrimais mokslininkų, kurių yra daug daugiau, negu randama nuorodose, kurios iš esmės padeda tik kaip citatų šaltinis. Didelė dalis pažangos, susijusios su mūsų žiniomis ir suvokimu, kokios vyko transformacijos Stanislovo Augusto (1764–1795) valdymo metu, buvo lietuvių mokslininkų pasiekta per pastaruosius tris dešimtmečius. Todėl man ypač malonu rekomenduoti kai kuriuos jų darbus literatūros sąraše. Galiausiai norėčiau išreikšti didžiulę padėką Lietuvos istorijos institutui, kuris  mane dažnai kviesdavo pasisvečiuoti Vilniuje, ir taip pat jo iškiliam direktoriui profesoriui Alvydui </w:t>
      </w:r>
      <w:proofErr w:type="spellStart"/>
      <w:r w:rsidRPr="001F3D81">
        <w:rPr>
          <w:rFonts w:ascii="Times New Roman" w:hAnsi="Times New Roman" w:cs="Times New Roman"/>
          <w:sz w:val="24"/>
          <w:szCs w:val="24"/>
        </w:rPr>
        <w:t>Nikžentaičiui</w:t>
      </w:r>
      <w:proofErr w:type="spellEnd"/>
      <w:r w:rsidRPr="001F3D81">
        <w:rPr>
          <w:rFonts w:ascii="Times New Roman" w:hAnsi="Times New Roman" w:cs="Times New Roman"/>
          <w:sz w:val="24"/>
          <w:szCs w:val="24"/>
        </w:rPr>
        <w:t xml:space="preserve"> už tai, kad ėmėsi išleisti šį mano darbą daininga lietuvių kalba.</w:t>
      </w:r>
    </w:p>
    <w:p w14:paraId="693DFB53" w14:textId="77777777" w:rsidR="001F3D81" w:rsidRPr="001F3D81" w:rsidRDefault="001F3D81" w:rsidP="003006F9">
      <w:pPr>
        <w:jc w:val="both"/>
        <w:rPr>
          <w:rFonts w:ascii="Times New Roman" w:hAnsi="Times New Roman" w:cs="Times New Roman"/>
          <w:sz w:val="24"/>
          <w:szCs w:val="24"/>
        </w:rPr>
      </w:pPr>
      <w:proofErr w:type="spellStart"/>
      <w:r w:rsidRPr="001F3D81">
        <w:rPr>
          <w:rFonts w:ascii="Times New Roman" w:hAnsi="Times New Roman" w:cs="Times New Roman"/>
          <w:sz w:val="24"/>
          <w:szCs w:val="24"/>
        </w:rPr>
        <w:t>Richard</w:t>
      </w:r>
      <w:proofErr w:type="spellEnd"/>
      <w:r w:rsidRPr="001F3D81">
        <w:rPr>
          <w:rFonts w:ascii="Times New Roman" w:hAnsi="Times New Roman" w:cs="Times New Roman"/>
          <w:sz w:val="24"/>
          <w:szCs w:val="24"/>
        </w:rPr>
        <w:t xml:space="preserve"> </w:t>
      </w:r>
      <w:proofErr w:type="spellStart"/>
      <w:r w:rsidRPr="001F3D81">
        <w:rPr>
          <w:rFonts w:ascii="Times New Roman" w:hAnsi="Times New Roman" w:cs="Times New Roman"/>
          <w:sz w:val="24"/>
          <w:szCs w:val="24"/>
        </w:rPr>
        <w:t>Butterwick</w:t>
      </w:r>
      <w:proofErr w:type="spellEnd"/>
      <w:r w:rsidRPr="001F3D81">
        <w:rPr>
          <w:rFonts w:ascii="Times New Roman" w:hAnsi="Times New Roman" w:cs="Times New Roman"/>
          <w:sz w:val="24"/>
          <w:szCs w:val="24"/>
        </w:rPr>
        <w:t xml:space="preserve"> 2021 m. vasario 16 d.</w:t>
      </w:r>
    </w:p>
    <w:p w14:paraId="7BB93B43" w14:textId="77777777" w:rsidR="001F3D81" w:rsidRPr="00962989" w:rsidRDefault="001F3D81" w:rsidP="003006F9">
      <w:pPr>
        <w:jc w:val="both"/>
        <w:rPr>
          <w:rFonts w:ascii="Times New Roman" w:hAnsi="Times New Roman" w:cs="Times New Roman"/>
          <w:sz w:val="24"/>
          <w:szCs w:val="24"/>
        </w:rPr>
      </w:pPr>
    </w:p>
    <w:sectPr w:rsidR="001F3D81" w:rsidRPr="00962989"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3800C" w14:textId="77777777" w:rsidR="00FA1415" w:rsidRDefault="00FA1415" w:rsidP="00531432">
      <w:r>
        <w:separator/>
      </w:r>
    </w:p>
  </w:endnote>
  <w:endnote w:type="continuationSeparator" w:id="0">
    <w:p w14:paraId="28CE16C1" w14:textId="77777777" w:rsidR="00FA1415" w:rsidRDefault="00FA1415" w:rsidP="0053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095B2" w14:textId="77777777" w:rsidR="00FA1415" w:rsidRDefault="00FA1415" w:rsidP="00531432">
      <w:r>
        <w:separator/>
      </w:r>
    </w:p>
  </w:footnote>
  <w:footnote w:type="continuationSeparator" w:id="0">
    <w:p w14:paraId="078EA8F7" w14:textId="77777777" w:rsidR="00FA1415" w:rsidRDefault="00FA1415" w:rsidP="00531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447238938">
    <w:abstractNumId w:val="21"/>
  </w:num>
  <w:num w:numId="2" w16cid:durableId="2018312459">
    <w:abstractNumId w:val="13"/>
  </w:num>
  <w:num w:numId="3" w16cid:durableId="1582255356">
    <w:abstractNumId w:val="11"/>
  </w:num>
  <w:num w:numId="4" w16cid:durableId="1685091460">
    <w:abstractNumId w:val="24"/>
  </w:num>
  <w:num w:numId="5" w16cid:durableId="1028095305">
    <w:abstractNumId w:val="15"/>
  </w:num>
  <w:num w:numId="6" w16cid:durableId="314191524">
    <w:abstractNumId w:val="18"/>
  </w:num>
  <w:num w:numId="7" w16cid:durableId="1506822282">
    <w:abstractNumId w:val="20"/>
  </w:num>
  <w:num w:numId="8" w16cid:durableId="1008873596">
    <w:abstractNumId w:val="9"/>
  </w:num>
  <w:num w:numId="9" w16cid:durableId="104934346">
    <w:abstractNumId w:val="7"/>
  </w:num>
  <w:num w:numId="10" w16cid:durableId="61370253">
    <w:abstractNumId w:val="6"/>
  </w:num>
  <w:num w:numId="11" w16cid:durableId="2081636138">
    <w:abstractNumId w:val="5"/>
  </w:num>
  <w:num w:numId="12" w16cid:durableId="1465587289">
    <w:abstractNumId w:val="4"/>
  </w:num>
  <w:num w:numId="13" w16cid:durableId="2084522844">
    <w:abstractNumId w:val="8"/>
  </w:num>
  <w:num w:numId="14" w16cid:durableId="1423137190">
    <w:abstractNumId w:val="3"/>
  </w:num>
  <w:num w:numId="15" w16cid:durableId="215237466">
    <w:abstractNumId w:val="2"/>
  </w:num>
  <w:num w:numId="16" w16cid:durableId="560215308">
    <w:abstractNumId w:val="1"/>
  </w:num>
  <w:num w:numId="17" w16cid:durableId="1183325269">
    <w:abstractNumId w:val="0"/>
  </w:num>
  <w:num w:numId="18" w16cid:durableId="1502814630">
    <w:abstractNumId w:val="16"/>
  </w:num>
  <w:num w:numId="19" w16cid:durableId="156505187">
    <w:abstractNumId w:val="17"/>
  </w:num>
  <w:num w:numId="20" w16cid:durableId="648438553">
    <w:abstractNumId w:val="22"/>
  </w:num>
  <w:num w:numId="21" w16cid:durableId="583418851">
    <w:abstractNumId w:val="19"/>
  </w:num>
  <w:num w:numId="22" w16cid:durableId="186333583">
    <w:abstractNumId w:val="12"/>
  </w:num>
  <w:num w:numId="23" w16cid:durableId="1971393715">
    <w:abstractNumId w:val="25"/>
  </w:num>
  <w:num w:numId="24" w16cid:durableId="564754658">
    <w:abstractNumId w:val="10"/>
  </w:num>
  <w:num w:numId="25" w16cid:durableId="204342272">
    <w:abstractNumId w:val="23"/>
  </w:num>
  <w:num w:numId="26" w16cid:durableId="17640624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attachedTemplate r:id="rId1"/>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989"/>
    <w:rsid w:val="000734F9"/>
    <w:rsid w:val="000E458F"/>
    <w:rsid w:val="001F3D81"/>
    <w:rsid w:val="00250492"/>
    <w:rsid w:val="003006F9"/>
    <w:rsid w:val="00355C4C"/>
    <w:rsid w:val="00394566"/>
    <w:rsid w:val="004C1F58"/>
    <w:rsid w:val="004E108E"/>
    <w:rsid w:val="00531432"/>
    <w:rsid w:val="00645252"/>
    <w:rsid w:val="006D3D74"/>
    <w:rsid w:val="0083569A"/>
    <w:rsid w:val="00962989"/>
    <w:rsid w:val="00995558"/>
    <w:rsid w:val="00A67D68"/>
    <w:rsid w:val="00A9204E"/>
    <w:rsid w:val="00BD4285"/>
    <w:rsid w:val="00C93CE1"/>
    <w:rsid w:val="00E460C9"/>
    <w:rsid w:val="00F81FD6"/>
    <w:rsid w:val="00FA141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3BBEE5"/>
  <w15:chartTrackingRefBased/>
  <w15:docId w15:val="{61978076-F92D-44A0-9636-AEE75422F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eastAsiaTheme="majorEastAsia" w:hAnsi="Calibri Light" w:cs="Calibri Light"/>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eastAsiaTheme="majorEastAsia" w:hAnsi="Calibri Light" w:cs="Calibri Light"/>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eastAsiaTheme="majorEastAsia" w:hAnsi="Calibri Light" w:cs="Calibri Light"/>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eastAsiaTheme="majorEastAsia" w:hAnsi="Calibri Light" w:cs="Calibri Light"/>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eastAsiaTheme="majorEastAsia" w:hAnsi="Calibri Light" w:cs="Calibri Light"/>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31432"/>
    <w:rPr>
      <w:rFonts w:ascii="Calibri Light" w:eastAsiaTheme="majorEastAsia" w:hAnsi="Calibri Light" w:cs="Calibri Light"/>
      <w:color w:val="1F4E79" w:themeColor="accent1" w:themeShade="80"/>
      <w:sz w:val="32"/>
      <w:szCs w:val="32"/>
    </w:rPr>
  </w:style>
  <w:style w:type="character" w:customStyle="1" w:styleId="Antrat2Diagrama">
    <w:name w:val="Antraštė 2 Diagrama"/>
    <w:basedOn w:val="Numatytasispastraiposriftas"/>
    <w:link w:val="Antrat2"/>
    <w:uiPriority w:val="9"/>
    <w:rsid w:val="00531432"/>
    <w:rPr>
      <w:rFonts w:ascii="Calibri Light" w:eastAsiaTheme="majorEastAsia" w:hAnsi="Calibri Light" w:cs="Calibri Light"/>
      <w:color w:val="1F4E79" w:themeColor="accent1" w:themeShade="80"/>
      <w:sz w:val="26"/>
      <w:szCs w:val="26"/>
    </w:rPr>
  </w:style>
  <w:style w:type="character" w:customStyle="1" w:styleId="Antrat3Diagrama">
    <w:name w:val="Antraštė 3 Diagrama"/>
    <w:basedOn w:val="Numatytasispastraiposriftas"/>
    <w:link w:val="Antrat3"/>
    <w:uiPriority w:val="9"/>
    <w:rsid w:val="00531432"/>
    <w:rPr>
      <w:rFonts w:ascii="Calibri Light" w:eastAsiaTheme="majorEastAsia" w:hAnsi="Calibri Light" w:cs="Calibri Light"/>
      <w:color w:val="1F4D78" w:themeColor="accent1" w:themeShade="7F"/>
      <w:sz w:val="24"/>
      <w:szCs w:val="24"/>
    </w:rPr>
  </w:style>
  <w:style w:type="character" w:customStyle="1" w:styleId="Antrat4Diagrama">
    <w:name w:val="Antraštė 4 Diagrama"/>
    <w:basedOn w:val="Numatytasispastraiposriftas"/>
    <w:link w:val="Antrat4"/>
    <w:uiPriority w:val="9"/>
    <w:rsid w:val="00531432"/>
    <w:rPr>
      <w:rFonts w:ascii="Calibri Light" w:eastAsiaTheme="majorEastAsia" w:hAnsi="Calibri Light" w:cs="Calibri Light"/>
      <w:i/>
      <w:iCs/>
      <w:color w:val="1F4E79" w:themeColor="accent1" w:themeShade="80"/>
    </w:rPr>
  </w:style>
  <w:style w:type="character" w:customStyle="1" w:styleId="Antrat5Diagrama">
    <w:name w:val="Antraštė 5 Diagrama"/>
    <w:basedOn w:val="Numatytasispastraiposriftas"/>
    <w:link w:val="Antrat5"/>
    <w:uiPriority w:val="9"/>
    <w:rsid w:val="00531432"/>
    <w:rPr>
      <w:rFonts w:ascii="Calibri Light" w:eastAsiaTheme="majorEastAsia" w:hAnsi="Calibri Light" w:cs="Calibri Light"/>
      <w:color w:val="1F4E79" w:themeColor="accent1" w:themeShade="80"/>
    </w:rPr>
  </w:style>
  <w:style w:type="character" w:customStyle="1" w:styleId="Antrat6Diagrama">
    <w:name w:val="Antraštė 6 Diagrama"/>
    <w:basedOn w:val="Numatytasispastraiposriftas"/>
    <w:link w:val="Antrat6"/>
    <w:uiPriority w:val="9"/>
    <w:rsid w:val="00531432"/>
    <w:rPr>
      <w:rFonts w:ascii="Calibri Light" w:eastAsiaTheme="majorEastAsia" w:hAnsi="Calibri Light" w:cs="Calibri Light"/>
      <w:color w:val="1F4D78" w:themeColor="accent1" w:themeShade="7F"/>
    </w:rPr>
  </w:style>
  <w:style w:type="character" w:customStyle="1" w:styleId="Antrat7Diagrama">
    <w:name w:val="Antraštė 7 Diagrama"/>
    <w:basedOn w:val="Numatytasispastraiposriftas"/>
    <w:link w:val="Antrat7"/>
    <w:uiPriority w:val="9"/>
    <w:rsid w:val="00531432"/>
    <w:rPr>
      <w:rFonts w:ascii="Calibri Light" w:eastAsiaTheme="majorEastAsia" w:hAnsi="Calibri Light" w:cs="Calibri Light"/>
      <w:i/>
      <w:iCs/>
      <w:color w:val="1F4D78" w:themeColor="accent1" w:themeShade="7F"/>
    </w:rPr>
  </w:style>
  <w:style w:type="character" w:customStyle="1" w:styleId="Antrat8Diagrama">
    <w:name w:val="Antraštė 8 Diagrama"/>
    <w:basedOn w:val="Numatytasispastraiposriftas"/>
    <w:link w:val="Antrat8"/>
    <w:uiPriority w:val="9"/>
    <w:rsid w:val="00531432"/>
    <w:rPr>
      <w:rFonts w:ascii="Calibri Light" w:eastAsiaTheme="majorEastAsia" w:hAnsi="Calibri Light" w:cs="Calibri Light"/>
      <w:color w:val="272727" w:themeColor="text1" w:themeTint="D8"/>
      <w:szCs w:val="21"/>
    </w:rPr>
  </w:style>
  <w:style w:type="character" w:customStyle="1" w:styleId="Antrat9Diagrama">
    <w:name w:val="Antraštė 9 Diagrama"/>
    <w:basedOn w:val="Numatytasispastraiposriftas"/>
    <w:link w:val="Antrat9"/>
    <w:uiPriority w:val="9"/>
    <w:rsid w:val="00531432"/>
    <w:rPr>
      <w:rFonts w:ascii="Calibri Light" w:eastAsiaTheme="majorEastAsia" w:hAnsi="Calibri Light" w:cs="Calibri Light"/>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eastAsiaTheme="majorEastAsia" w:hAnsi="Calibri Light" w:cs="Calibri Light"/>
      <w:spacing w:val="-10"/>
      <w:kern w:val="28"/>
      <w:sz w:val="56"/>
      <w:szCs w:val="56"/>
    </w:rPr>
  </w:style>
  <w:style w:type="character" w:customStyle="1" w:styleId="PavadinimasDiagrama">
    <w:name w:val="Pavadinimas Diagrama"/>
    <w:basedOn w:val="Numatytasispastraiposriftas"/>
    <w:link w:val="Pavadinimas"/>
    <w:uiPriority w:val="10"/>
    <w:rsid w:val="00531432"/>
    <w:rPr>
      <w:rFonts w:ascii="Calibri Light" w:eastAsiaTheme="majorEastAsia" w:hAnsi="Calibri Light" w:cs="Calibri Light"/>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531432"/>
    <w:rPr>
      <w:rFonts w:ascii="Calibri" w:eastAsiaTheme="minorEastAsia" w:hAnsi="Calibri" w:cs="Calibri"/>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skirtacitataDiagrama">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customStyle="1" w:styleId="DebesliotekstasDiagrama">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customStyle="1" w:styleId="Pagrindinistekstas3Diagrama">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customStyle="1" w:styleId="Pagrindiniotekstotrauka3Diagrama">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customStyle="1" w:styleId="KomentarotekstasDiagrama">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customStyle="1" w:styleId="KomentarotemaDiagrama">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customStyle="1" w:styleId="DokumentostruktraDiagrama">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customStyle="1" w:styleId="DokumentoinaostekstasDiagrama">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eastAsiaTheme="majorEastAsia" w:hAnsi="Calibri Light" w:cs="Calibri Light"/>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customStyle="1" w:styleId="PuslapioinaostekstasDiagrama">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customStyle="1" w:styleId="HTMLiankstoformatuotasDiagrama">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komandostekstasDiagrama">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customStyle="1" w:styleId="PaprastasistekstasDiagrama">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customStyle="1" w:styleId="AntratsDiagrama">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customStyle="1" w:styleId="PoratDiagrama">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customStyle="1" w:styleId="HTMLadresasDiagrama">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LaikoantratDiagrama">
    <w:name w:val="Laiško antraštė Diagrama"/>
    <w:basedOn w:val="Numatytasispastraiposriftas"/>
    <w:link w:val="Laikoantrat"/>
    <w:uiPriority w:val="99"/>
    <w:semiHidden/>
    <w:rsid w:val="00531432"/>
    <w:rPr>
      <w:rFonts w:ascii="Calibri Light" w:eastAsiaTheme="majorEastAsia" w:hAnsi="Calibri Light" w:cs="Calibri Light"/>
      <w:sz w:val="24"/>
      <w:szCs w:val="24"/>
      <w:shd w:val="pct20" w:color="auto" w:fill="auto"/>
    </w:rPr>
  </w:style>
  <w:style w:type="table" w:styleId="LentelElegantika">
    <w:name w:val="Table Elegant"/>
    <w:basedOn w:val="prastojilentel"/>
    <w:uiPriority w:val="99"/>
    <w:semiHidden/>
    <w:unhideWhenUsed/>
    <w:rsid w:val="0053143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53143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53143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53143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53143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eastAsiaTheme="majorEastAsia" w:hAnsi="Calibri Light" w:cs="Calibri Light"/>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53143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53143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customStyle="1" w:styleId="DataDiagrama">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customStyle="1" w:styleId="PagrindinistekstasDiagrama">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customStyle="1" w:styleId="PastabosantratDiagrama">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sraolentel">
    <w:name w:val="List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customStyle="1" w:styleId="ElpatoparaasDiagrama">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customStyle="1" w:styleId="PasveikinimasDiagrama">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customStyle="1" w:styleId="ParaasDiagrama">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rsid w:val="0053143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eastAsiaTheme="majorEastAsia" w:hAnsi="Calibri Light" w:cs="Calibri Light"/>
      <w:b/>
      <w:bCs/>
    </w:rPr>
  </w:style>
  <w:style w:type="paragraph" w:styleId="Ubaigimas">
    <w:name w:val="Closing"/>
    <w:basedOn w:val="prastasis"/>
    <w:link w:val="UbaigimasDiagrama"/>
    <w:uiPriority w:val="99"/>
    <w:semiHidden/>
    <w:unhideWhenUsed/>
    <w:rsid w:val="00531432"/>
    <w:pPr>
      <w:ind w:left="4320"/>
    </w:pPr>
  </w:style>
  <w:style w:type="character" w:customStyle="1" w:styleId="UbaigimasDiagrama">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Tinklelis1">
    <w:name w:val="Table Grid 1"/>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53143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53143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53143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53143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53143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53143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53143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tinkleliolentel">
    <w:name w:val="Grid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enteliniatinklis1">
    <w:name w:val="Table Web 1"/>
    <w:basedOn w:val="prastojilentel"/>
    <w:uiPriority w:val="99"/>
    <w:semiHidden/>
    <w:unhideWhenUsed/>
    <w:rsid w:val="0053143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53143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rsid w:val="0053143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edumon.lt/2021/05/04/geguzes-3-sios-konstitucij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AppData\Local\Microsoft\Office\16.0\DTS\lt-LT%7b9916C81E-4B8E-47D0-B484-ED456FEF0F5C%7d\%7bDC99FCF0-CD18-42B1-BF85-2AA7F8B93843%7dTF2de6fc23-48e8-448b-960e-1bdc6e9248abfa136606_win32-82c8f9309f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{DC99FCF0-CD18-42B1-BF85-2AA7F8B93843}TF2de6fc23-48e8-448b-960e-1bdc6e9248abfa136606_win32-82c8f9309f5d.dotx</Template>
  <TotalTime>4</TotalTime>
  <Pages>3</Pages>
  <Words>1612</Words>
  <Characters>10865</Characters>
  <Application>Microsoft Office Word</Application>
  <DocSecurity>0</DocSecurity>
  <Lines>153</Lines>
  <Paragraphs>16</Paragraphs>
  <ScaleCrop>false</ScaleCrop>
  <Company/>
  <LinksUpToDate>false</LinksUpToDate>
  <CharactersWithSpaces>12461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2026-06-08T11:20:00Z</dcterms:created>
  <dcterms:modified xsi:type="dcterms:W3CDTF">2026-06-08T11:20:00Z</dcterms:modified>
</cp:coreProperties>
</file>