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4CF115" w14:textId="2BC1C9C3" w:rsidR="005F6587" w:rsidRPr="005E7268" w:rsidRDefault="00B5538C" w:rsidP="005E7268">
      <w:pPr>
        <w:spacing w:line="259" w:lineRule="auto"/>
        <w:ind w:left="-5"/>
        <w:rPr>
          <w:b/>
          <w:szCs w:val="24"/>
        </w:rPr>
      </w:pPr>
      <w:r w:rsidRPr="005E7268">
        <w:rPr>
          <w:b/>
          <w:szCs w:val="24"/>
        </w:rPr>
        <w:t>PRIVA</w:t>
      </w:r>
      <w:r w:rsidR="00516EFD">
        <w:rPr>
          <w:b/>
          <w:szCs w:val="24"/>
        </w:rPr>
        <w:t>TI ŽEMĖS NUOSAVYBĖ IR DABARTIS</w:t>
      </w:r>
      <w:r w:rsidRPr="005E7268">
        <w:rPr>
          <w:b/>
          <w:szCs w:val="24"/>
        </w:rPr>
        <w:t>.</w:t>
      </w:r>
    </w:p>
    <w:p w14:paraId="263C8949" w14:textId="77777777" w:rsidR="00B5538C" w:rsidRPr="005E7268" w:rsidRDefault="00B5538C" w:rsidP="005E7268">
      <w:pPr>
        <w:ind w:left="-5"/>
        <w:rPr>
          <w:szCs w:val="24"/>
        </w:rPr>
      </w:pPr>
      <w:r w:rsidRPr="005E7268">
        <w:rPr>
          <w:i/>
          <w:szCs w:val="24"/>
        </w:rPr>
        <w:t>Eduardas Monkevičius</w:t>
      </w:r>
    </w:p>
    <w:p w14:paraId="72C96581" w14:textId="40D0ED1D" w:rsidR="005F6587" w:rsidRPr="005E7268" w:rsidRDefault="003B2155" w:rsidP="005E7268">
      <w:pPr>
        <w:spacing w:after="261"/>
        <w:ind w:left="0" w:firstLine="0"/>
        <w:rPr>
          <w:szCs w:val="24"/>
        </w:rPr>
      </w:pPr>
      <w:r w:rsidRPr="005E7268">
        <w:rPr>
          <w:szCs w:val="24"/>
        </w:rPr>
        <w:t xml:space="preserve">2025.09. 15 </w:t>
      </w:r>
    </w:p>
    <w:p w14:paraId="3347EC84" w14:textId="77777777" w:rsidR="005F6587" w:rsidRPr="005E7268" w:rsidRDefault="003B2155" w:rsidP="005E7268">
      <w:pPr>
        <w:spacing w:after="11" w:line="259" w:lineRule="auto"/>
        <w:ind w:left="-2" w:firstLine="0"/>
        <w:rPr>
          <w:szCs w:val="24"/>
        </w:rPr>
      </w:pPr>
      <w:r w:rsidRPr="005E7268">
        <w:rPr>
          <w:noProof/>
          <w:szCs w:val="24"/>
        </w:rPr>
        <w:drawing>
          <wp:inline distT="0" distB="0" distL="0" distR="0" wp14:anchorId="62C2A51A" wp14:editId="6044AF15">
            <wp:extent cx="5731510" cy="3853180"/>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7"/>
                    <a:stretch>
                      <a:fillRect/>
                    </a:stretch>
                  </pic:blipFill>
                  <pic:spPr>
                    <a:xfrm>
                      <a:off x="0" y="0"/>
                      <a:ext cx="5731510" cy="3853180"/>
                    </a:xfrm>
                    <a:prstGeom prst="rect">
                      <a:avLst/>
                    </a:prstGeom>
                  </pic:spPr>
                </pic:pic>
              </a:graphicData>
            </a:graphic>
          </wp:inline>
        </w:drawing>
      </w:r>
    </w:p>
    <w:p w14:paraId="69495818" w14:textId="77777777" w:rsidR="005F6587" w:rsidRPr="005E7268" w:rsidRDefault="003B2155" w:rsidP="005E7268">
      <w:pPr>
        <w:spacing w:after="262"/>
        <w:ind w:left="-5"/>
        <w:rPr>
          <w:szCs w:val="24"/>
        </w:rPr>
      </w:pPr>
      <w:proofErr w:type="spellStart"/>
      <w:r w:rsidRPr="005E7268">
        <w:rPr>
          <w:szCs w:val="24"/>
        </w:rPr>
        <w:t>edumon.lt</w:t>
      </w:r>
      <w:proofErr w:type="spellEnd"/>
    </w:p>
    <w:p w14:paraId="3DC5903F" w14:textId="2D1AD66B" w:rsidR="005F6587" w:rsidRPr="005E7268" w:rsidRDefault="003B2155" w:rsidP="005E7268">
      <w:pPr>
        <w:ind w:left="-5"/>
        <w:rPr>
          <w:szCs w:val="24"/>
        </w:rPr>
      </w:pPr>
      <w:r w:rsidRPr="005E7268">
        <w:rPr>
          <w:i/>
          <w:szCs w:val="24"/>
        </w:rPr>
        <w:t xml:space="preserve"> Pamąstymai apie tai</w:t>
      </w:r>
      <w:r w:rsidR="00B5538C" w:rsidRPr="005E7268">
        <w:rPr>
          <w:i/>
          <w:szCs w:val="24"/>
        </w:rPr>
        <w:t xml:space="preserve"> ar</w:t>
      </w:r>
      <w:r w:rsidRPr="005E7268">
        <w:rPr>
          <w:i/>
          <w:szCs w:val="24"/>
        </w:rPr>
        <w:t xml:space="preserve"> pri</w:t>
      </w:r>
      <w:r w:rsidR="004B62B7">
        <w:rPr>
          <w:i/>
          <w:szCs w:val="24"/>
        </w:rPr>
        <w:t>gimtinė</w:t>
      </w:r>
      <w:r w:rsidRPr="005E7268">
        <w:rPr>
          <w:i/>
          <w:szCs w:val="24"/>
        </w:rPr>
        <w:t xml:space="preserve"> žemės nuosavybė</w:t>
      </w:r>
      <w:r w:rsidR="00B5538C" w:rsidRPr="005E7268">
        <w:rPr>
          <w:i/>
          <w:szCs w:val="24"/>
        </w:rPr>
        <w:t>s teisė</w:t>
      </w:r>
      <w:r w:rsidRPr="005E7268">
        <w:rPr>
          <w:i/>
          <w:szCs w:val="24"/>
        </w:rPr>
        <w:t xml:space="preserve"> yra </w:t>
      </w:r>
      <w:r w:rsidR="00B5538C" w:rsidRPr="005E7268">
        <w:rPr>
          <w:i/>
          <w:szCs w:val="24"/>
        </w:rPr>
        <w:t>absoliuti ir</w:t>
      </w:r>
      <w:r w:rsidRPr="005E7268">
        <w:rPr>
          <w:i/>
          <w:szCs w:val="24"/>
        </w:rPr>
        <w:t xml:space="preserve"> neliečiama,  ar paneigia šį konstitucinį principą žemės nusavinimas arba nuosavybės teisių  ribojimai visuomenės poreikiams ir ar visuomet savininkas gali  apginti savo nuosavybės teises  tokiais atvejais? </w:t>
      </w:r>
    </w:p>
    <w:p w14:paraId="5F3BA092" w14:textId="086CC3E7" w:rsidR="005F6587" w:rsidRPr="005E7268" w:rsidRDefault="00603092" w:rsidP="005E7268">
      <w:pPr>
        <w:pStyle w:val="Sraopastraipa"/>
        <w:numPr>
          <w:ilvl w:val="0"/>
          <w:numId w:val="2"/>
        </w:numPr>
        <w:spacing w:line="259" w:lineRule="auto"/>
        <w:rPr>
          <w:b/>
          <w:szCs w:val="24"/>
        </w:rPr>
      </w:pPr>
      <w:r w:rsidRPr="005E7268">
        <w:rPr>
          <w:b/>
          <w:szCs w:val="24"/>
        </w:rPr>
        <w:t>Ž</w:t>
      </w:r>
      <w:r w:rsidR="003B2155" w:rsidRPr="005E7268">
        <w:rPr>
          <w:b/>
          <w:szCs w:val="24"/>
        </w:rPr>
        <w:t xml:space="preserve">emės nuosavybės </w:t>
      </w:r>
      <w:r w:rsidRPr="005E7268">
        <w:rPr>
          <w:b/>
          <w:szCs w:val="24"/>
        </w:rPr>
        <w:t>teisės šaltiniai</w:t>
      </w:r>
      <w:r w:rsidR="003B2155" w:rsidRPr="005E7268">
        <w:rPr>
          <w:b/>
          <w:szCs w:val="24"/>
        </w:rPr>
        <w:t xml:space="preserve"> ir reikšmė.</w:t>
      </w:r>
    </w:p>
    <w:p w14:paraId="49169E62" w14:textId="587D390B" w:rsidR="005F6587" w:rsidRPr="005E7268" w:rsidRDefault="00603092" w:rsidP="007A4EDC">
      <w:pPr>
        <w:spacing w:line="259" w:lineRule="auto"/>
        <w:ind w:left="165" w:firstLine="0"/>
        <w:rPr>
          <w:szCs w:val="24"/>
        </w:rPr>
      </w:pPr>
      <w:r w:rsidRPr="005E7268">
        <w:rPr>
          <w:szCs w:val="24"/>
        </w:rPr>
        <w:t xml:space="preserve">   Pirminis</w:t>
      </w:r>
      <w:r w:rsidR="005E7268" w:rsidRPr="005E7268">
        <w:rPr>
          <w:szCs w:val="24"/>
        </w:rPr>
        <w:t xml:space="preserve"> prigimtinės</w:t>
      </w:r>
      <w:r w:rsidRPr="005E7268">
        <w:rPr>
          <w:szCs w:val="24"/>
        </w:rPr>
        <w:t xml:space="preserve"> žemės nuosavybės teisės šaltinis iki valstybių ir rašytinės teisės atsiradimo buvo žmonių prot</w:t>
      </w:r>
      <w:r w:rsidR="005E7268">
        <w:rPr>
          <w:szCs w:val="24"/>
        </w:rPr>
        <w:t>u</w:t>
      </w:r>
      <w:r w:rsidRPr="005E7268">
        <w:rPr>
          <w:szCs w:val="24"/>
        </w:rPr>
        <w:t xml:space="preserve"> ir tarpusavio susitarimu  sukurtos ir jų sąmonėje egzistavusios prigimtinės teisės ir pareigos</w:t>
      </w:r>
      <w:r w:rsidR="005E7268" w:rsidRPr="005E7268">
        <w:rPr>
          <w:szCs w:val="24"/>
        </w:rPr>
        <w:t xml:space="preserve"> laisvos bendruomeninės žemės pasisavinimo, pasidalijimo ir įdirbimo santykiuose.</w:t>
      </w:r>
      <w:r w:rsidR="005E7268">
        <w:rPr>
          <w:szCs w:val="24"/>
        </w:rPr>
        <w:t xml:space="preserve"> </w:t>
      </w:r>
      <w:r w:rsidR="007A4EDC" w:rsidRPr="005E7268">
        <w:rPr>
          <w:szCs w:val="24"/>
        </w:rPr>
        <w:t xml:space="preserve">Tokios teisės ir pareigos yra prigimtinės, nes įgyjamos nuo gimimo ir neatskiriamos nuo žmogaus prigimties sampratos. </w:t>
      </w:r>
      <w:r w:rsidR="007A4EDC">
        <w:rPr>
          <w:szCs w:val="24"/>
        </w:rPr>
        <w:t xml:space="preserve"> </w:t>
      </w:r>
      <w:r w:rsidR="005E7268">
        <w:rPr>
          <w:szCs w:val="24"/>
        </w:rPr>
        <w:t>Jos garantavo žmonių egzistavimą</w:t>
      </w:r>
      <w:r w:rsidR="007A4EDC">
        <w:rPr>
          <w:szCs w:val="24"/>
        </w:rPr>
        <w:t>, būtinų poreikių patenkinimą ir laisvą vystymąsi.</w:t>
      </w:r>
      <w:r w:rsidR="003B2155" w:rsidRPr="005E7268">
        <w:rPr>
          <w:szCs w:val="24"/>
        </w:rPr>
        <w:t xml:space="preserve"> </w:t>
      </w:r>
      <w:r w:rsidR="007A4EDC">
        <w:rPr>
          <w:szCs w:val="24"/>
        </w:rPr>
        <w:t xml:space="preserve">      </w:t>
      </w:r>
      <w:r w:rsidR="003B2155" w:rsidRPr="005E7268">
        <w:rPr>
          <w:szCs w:val="24"/>
        </w:rPr>
        <w:t>Pasaulyje atsiradus valstybėms ir  rašytinei teisei prigimtinės  teisės</w:t>
      </w:r>
      <w:r w:rsidR="007A4EDC">
        <w:rPr>
          <w:szCs w:val="24"/>
        </w:rPr>
        <w:t>, kartu ir nuosavybės teisė</w:t>
      </w:r>
      <w:r w:rsidR="003B2155" w:rsidRPr="005E7268">
        <w:rPr>
          <w:szCs w:val="24"/>
        </w:rPr>
        <w:t xml:space="preserve"> buvo suformuluotos demokratinių valstybių konstitucijose ir įstatymuose, taip pat Jungtinių Tautų Visuotinėje žmogaus teisų deklaracijoje ir kituose tarptautinės teisės šaltiniuose. Mūsų Konstitucijoje deklaruojamas bendras principas  :“žmogaus teisės ir laisvės yra prigimtinės‘‘, taip pat  suformuluotos pagrindinės žmogaus teisės ir laisvės: teisė į gyvybę, asmens laisvės neliečiamumas,   privataus gyvenimo neliečiamumas, nuosavybės neliečiamumas ir kt.  Tie principai iš esmės ir reiškia Konstitucijoje įtvirtintas prigimtines žmogaus teises ir  laisves. Kartu Konstitucija nustatė  ir  kiekvieno žmogaus  pareigas: „įgyvendindamas savo teises ir naudodamasis savo laisvėmis, žmogus privalo laikytis Konstitucijos ir įstatymų, nevaržyti kitų žmonių teisių ir laisvių“ (28 str.) Konstitucinis Teismas savo nutarimuose suformulavo oficialią žmogaus prigimtinių teisių doktriną. Išaiškinta, kad pamatines ir nekintamas prigimtines teises ir laisves kiekvienas žmogus įgyja nuo gimimo, jų </w:t>
      </w:r>
      <w:r w:rsidR="003B2155" w:rsidRPr="005E7268">
        <w:rPr>
          <w:szCs w:val="24"/>
        </w:rPr>
        <w:lastRenderedPageBreak/>
        <w:t xml:space="preserve">pagrindinis šaltinis yra žmogaus prigimtis, jos turi prioritetą valstybės teisės aktų ir valstybės institucijų bei pareigūnų sprendimų atžvilgiu, nepriklausomai nuo to ar jos įtvirtintos valstybės teisės aktuose ar ne. Valstybė privalo nustatyti pakankamas prigimtinių žmogaus teisių apsaugos ir gynimo priemones. </w:t>
      </w:r>
      <w:r w:rsidR="003B2155" w:rsidRPr="005E7268">
        <w:rPr>
          <w:i/>
          <w:szCs w:val="24"/>
        </w:rPr>
        <w:t>(Konstitucinio Teismo  2004 m. gruodžio 29 d. nutarimas ir kt.).</w:t>
      </w:r>
      <w:r w:rsidR="003B2155" w:rsidRPr="005E7268">
        <w:rPr>
          <w:szCs w:val="24"/>
        </w:rPr>
        <w:t xml:space="preserve">  </w:t>
      </w:r>
    </w:p>
    <w:p w14:paraId="03C7010D" w14:textId="5F77B7EF" w:rsidR="005F6587" w:rsidRPr="005E7268" w:rsidRDefault="003B2155" w:rsidP="005E7268">
      <w:pPr>
        <w:ind w:left="-5"/>
        <w:rPr>
          <w:szCs w:val="24"/>
        </w:rPr>
      </w:pPr>
      <w:r w:rsidRPr="005E7268">
        <w:rPr>
          <w:szCs w:val="24"/>
        </w:rPr>
        <w:t xml:space="preserve">   </w:t>
      </w:r>
      <w:r w:rsidR="007A4EDC">
        <w:rPr>
          <w:szCs w:val="24"/>
        </w:rPr>
        <w:t xml:space="preserve">   </w:t>
      </w:r>
      <w:r w:rsidRPr="005E7268">
        <w:rPr>
          <w:szCs w:val="24"/>
        </w:rPr>
        <w:t xml:space="preserve">Prigimtinių žmogaus teisių ir laisvių principų prioriteto , taip pat   Konstitucinio Teismo išaiškinimų turėtų būti </w:t>
      </w:r>
      <w:proofErr w:type="spellStart"/>
      <w:r w:rsidRPr="005E7268">
        <w:rPr>
          <w:szCs w:val="24"/>
        </w:rPr>
        <w:t>laikomąsi</w:t>
      </w:r>
      <w:proofErr w:type="spellEnd"/>
      <w:r w:rsidRPr="005E7268">
        <w:rPr>
          <w:szCs w:val="24"/>
        </w:rPr>
        <w:t xml:space="preserve"> įstatymų leidyboje, valstybės institucijų ir pareigūnų veikloje, taip pat teismuose, nagrinėjant bylas   dėl ginčijamų, pažeistų arba varžomų žmogaus  teisių ir laisvių bei tuo padarytos jam žalos atlyginimo. Remiantis prigimtinių žmogaus teisių prioriteto principu būtina prieš išleidžiant įstatymą ar jo papildymus, taip pat valstybės institucijų teisės aktus iš anksto įvertinti ar jie nesuvaržys ir ar nepažeis   konstitucinių ir kartu prigimtinių žmogaus teisių ir laisvių. Kilus abejonėms geriausia nuo tokių veiksmų atsisakyti, nes  tokį įstatymą ar teisės aktą nustatyta tvarka pripažinus negaliojančiais, nebus įgyvendinti jų išleidimo tikslai ir uždaviniai. Teismai savo ruožtu, nagrinėdami tokio pobūdžio civilinius ir administracinius ginčus ir nustatę, kad nėra ginčą reguliuojančio įstatymo arba jis prieštarauja prigimtinėms žmogaus teisėms ir laisvėms,  pirmiausia turėtų vadovautis Civiliniame kodekse įtvirtintiems teisingumo,   sąžiningumo ir protingumo principais  kurie privalomi tiek bendrosios kompetencijos tiek ir administraciniams teismams. Tačiau  praktinėje teismų veikloje šie principai ir Konstitucinio Teismo išaiškinimai taikomi gana retai arba  apskritai į tai neatsižvelgiama. </w:t>
      </w:r>
    </w:p>
    <w:p w14:paraId="04801556" w14:textId="0DCE0398" w:rsidR="005F6587" w:rsidRPr="005E7268" w:rsidRDefault="007A4EDC" w:rsidP="005E7268">
      <w:pPr>
        <w:spacing w:line="259" w:lineRule="auto"/>
        <w:ind w:left="240" w:firstLine="0"/>
        <w:rPr>
          <w:szCs w:val="24"/>
        </w:rPr>
      </w:pPr>
      <w:r>
        <w:rPr>
          <w:b/>
          <w:szCs w:val="24"/>
        </w:rPr>
        <w:t>2</w:t>
      </w:r>
      <w:r w:rsidR="00B5538C" w:rsidRPr="005E7268">
        <w:rPr>
          <w:b/>
          <w:szCs w:val="24"/>
        </w:rPr>
        <w:t>.</w:t>
      </w:r>
      <w:r w:rsidR="003B2155" w:rsidRPr="005E7268">
        <w:rPr>
          <w:b/>
          <w:szCs w:val="24"/>
        </w:rPr>
        <w:t>Žemės nuosavybės neliečiamumo principas.</w:t>
      </w:r>
    </w:p>
    <w:p w14:paraId="40BF2DE7" w14:textId="77777777" w:rsidR="005F6587" w:rsidRPr="005E7268" w:rsidRDefault="003B2155" w:rsidP="005E7268">
      <w:pPr>
        <w:ind w:left="-5"/>
        <w:rPr>
          <w:szCs w:val="24"/>
        </w:rPr>
      </w:pPr>
      <w:r w:rsidRPr="005E7268">
        <w:rPr>
          <w:szCs w:val="24"/>
        </w:rPr>
        <w:t xml:space="preserve">   Prigimtinė ir konstitucinė žmogaus teisė į nuosavybę apskritai kartu reiškia ir teisę į privačia žemės nuosavybę. Tačiau ką  reiškia Konstitucijos 23 str. nuostata: „nuosavybė neliečiama, nuosavybės teises saugo įstatymas“? Nuosavybės neliečiamumas visų pirma reiškia turto savininko, kaip subjektyvių teisių turėtojo, savo nuožiūra ir interesais valdyti ir naudoti jam priklausantį turtą ir juo disponuoti. Šią triadą suformulavo dar Senovės Romos teisininkai, kurią perėmė ir įtvirtino   tarptautinės teisės šaltiniai ir visos demokratinės valstybės savo įstatymuose, tame tarpe ir Lietuva. Kartu tai reiškia teisę reikalauti, kad kiti asmenys  nepažeistų savininko nuosavybės teisių, o valstybė  gintu ir saugotu privačią nuosavybę nuo bet kokio neteisėto į ją kėsinimosi. Privačios žemės  atžvilgiu neliečiamumo principas  praktiškai reiškia jos savininko teisę  laisvai  savo nuožiūra valdyti ir naudoti savo žemę, mišką , vandens telkinį ir kitą  turtą savo poreikiams, vykdyti ūkinę komercinę veiklą , gauti pajamas ir pelną, taip pat sudaryti  žemės ir kito turto  disponavimo sandorius, kurių nedraudžia įstatymai. Žemės savininkas taip pat turi teisę reikalauti, kad būtų ginamos teismuose  jų  pažeistos ar ginčijamos nuosavybės teisės. </w:t>
      </w:r>
    </w:p>
    <w:p w14:paraId="0150D076" w14:textId="77777777" w:rsidR="005F6587" w:rsidRPr="005E7268" w:rsidRDefault="003B2155" w:rsidP="005E7268">
      <w:pPr>
        <w:ind w:left="-5"/>
        <w:rPr>
          <w:szCs w:val="24"/>
        </w:rPr>
      </w:pPr>
      <w:r w:rsidRPr="005E7268">
        <w:rPr>
          <w:szCs w:val="24"/>
        </w:rPr>
        <w:t xml:space="preserve">   Kita vertus, nuosavybės apskritai ir tuo  pačiu privačios nuosavybės neliečiamumo principas neturi būti suprantamas kaip absoliutus. Konstitucija, kiti įstatymai ir visuotinai pripažinti tarptautinės teisės šaltiniai nepaneigia galimybės įstatymų nustatyta tvarka kitų žmonių ,visuomenės ar valstybės interesais   (</w:t>
      </w:r>
      <w:r w:rsidRPr="005E7268">
        <w:rPr>
          <w:i/>
          <w:szCs w:val="24"/>
        </w:rPr>
        <w:t>viešasis interesas)</w:t>
      </w:r>
      <w:r w:rsidRPr="005E7268">
        <w:rPr>
          <w:szCs w:val="24"/>
        </w:rPr>
        <w:t xml:space="preserve"> nusavinti turtą arba apriboti savininko teises jį valdyti, juo naudotis ir disponuoti. (</w:t>
      </w:r>
      <w:r w:rsidRPr="005E7268">
        <w:rPr>
          <w:i/>
          <w:szCs w:val="24"/>
        </w:rPr>
        <w:t>Konstitucinio Teismo 1997 m. gegužės 6 d. nutarimas).</w:t>
      </w:r>
      <w:r w:rsidRPr="005E7268">
        <w:rPr>
          <w:szCs w:val="24"/>
        </w:rPr>
        <w:t xml:space="preserve">Tai neprieštarauja  prigimtinėms žmogaus teisėms ir laisvėms, nes nuosavybės teisių ribojimų poreikis kilo dar senovėje. Savininkas nebuvo visiškai laisvas ir savarankiškas valdydamas ir naudodamas savo žemės sklypą, nes privalėjo nepažeisti gretimų sklypų savininkų, kitų žmonių ir bendruomenes teisių bei laisvių. Vėliau tam tikri nuosavybės teisių ribojimai buvo įtvirtinti valstybių įstatymuose ir tarptautinės teisės šaltiniuose. Pabrėžta privačios nuosavybės socialinė paskirtis </w:t>
      </w:r>
      <w:proofErr w:type="spellStart"/>
      <w:r w:rsidRPr="005E7268">
        <w:rPr>
          <w:szCs w:val="24"/>
        </w:rPr>
        <w:t>t..y</w:t>
      </w:r>
      <w:proofErr w:type="spellEnd"/>
      <w:r w:rsidRPr="005E7268">
        <w:rPr>
          <w:szCs w:val="24"/>
        </w:rPr>
        <w:t xml:space="preserve">. tarnavimas ne tik privačiam, bet ir </w:t>
      </w:r>
      <w:proofErr w:type="spellStart"/>
      <w:r w:rsidRPr="005E7268">
        <w:rPr>
          <w:szCs w:val="24"/>
        </w:rPr>
        <w:t>viešąjam</w:t>
      </w:r>
      <w:proofErr w:type="spellEnd"/>
      <w:r w:rsidRPr="005E7268">
        <w:rPr>
          <w:szCs w:val="24"/>
        </w:rPr>
        <w:t xml:space="preserve"> interesui. Tačiau privačios nuosavybės nusavinimas  arba subjektyvių  teisių ir laisvių ribojimas ar suvaržymas  nepaneigia konstitucinio jos neliečiamumo principo tiktai tuomet, kai jie yra teisėti ir pagrįsti konkrečiam </w:t>
      </w:r>
      <w:proofErr w:type="spellStart"/>
      <w:r w:rsidRPr="005E7268">
        <w:rPr>
          <w:szCs w:val="24"/>
        </w:rPr>
        <w:t>viešąjam</w:t>
      </w:r>
      <w:proofErr w:type="spellEnd"/>
      <w:r w:rsidRPr="005E7268">
        <w:rPr>
          <w:szCs w:val="24"/>
        </w:rPr>
        <w:t xml:space="preserve"> interesui patenkinti, įgyvendinami tiksliai vadovaujantis  įstatyme nustatytais atvejais, sąlygomis ir tvarka.</w:t>
      </w:r>
    </w:p>
    <w:p w14:paraId="1459F4AB" w14:textId="68743BF2" w:rsidR="005F6587" w:rsidRPr="005E7268" w:rsidRDefault="007A4EDC" w:rsidP="007A4EDC">
      <w:pPr>
        <w:spacing w:line="259" w:lineRule="auto"/>
        <w:ind w:left="240" w:firstLine="0"/>
        <w:rPr>
          <w:szCs w:val="24"/>
        </w:rPr>
      </w:pPr>
      <w:r>
        <w:rPr>
          <w:b/>
          <w:szCs w:val="24"/>
        </w:rPr>
        <w:t>3.</w:t>
      </w:r>
      <w:r w:rsidR="003B2155" w:rsidRPr="005E7268">
        <w:rPr>
          <w:b/>
          <w:szCs w:val="24"/>
        </w:rPr>
        <w:t>Privačios žemės nusavinimo teisėtumas.</w:t>
      </w:r>
    </w:p>
    <w:p w14:paraId="5A0C07A2" w14:textId="77777777" w:rsidR="005F6587" w:rsidRPr="005E7268" w:rsidRDefault="003B2155" w:rsidP="005E7268">
      <w:pPr>
        <w:ind w:left="-5"/>
        <w:rPr>
          <w:szCs w:val="24"/>
        </w:rPr>
      </w:pPr>
      <w:r w:rsidRPr="005E7268">
        <w:rPr>
          <w:szCs w:val="24"/>
        </w:rPr>
        <w:t xml:space="preserve"> Privačios žemės nusavinimo atvejai ir procedūra yra nurodyti Žemės ir kituose įstatymuose. Žemė gali būti nusavinta kai jos  reikia krašto ir valstybė sienos apsaugai, valstybiniams aerodromams, </w:t>
      </w:r>
      <w:r w:rsidRPr="005E7268">
        <w:rPr>
          <w:szCs w:val="24"/>
        </w:rPr>
        <w:lastRenderedPageBreak/>
        <w:t xml:space="preserve">geležinkeliams ir keliams tiesti, socialinei infrastruktūrai plėsti, gamtos ir kultūros paveldo objektų apsaugai, tarptautinės svarbos valstybiniams projektams įgyvendinti  ir t.t . Pavyzdžiui, žemė gali būti nusavinama, kai jos reikia  tiesti tarptautinę automagistralę „Via </w:t>
      </w:r>
      <w:proofErr w:type="spellStart"/>
      <w:r w:rsidRPr="005E7268">
        <w:rPr>
          <w:szCs w:val="24"/>
        </w:rPr>
        <w:t>Baltica</w:t>
      </w:r>
      <w:proofErr w:type="spellEnd"/>
      <w:r w:rsidRPr="005E7268">
        <w:rPr>
          <w:szCs w:val="24"/>
        </w:rPr>
        <w:t>“, europinę geležinkelio vėžę „</w:t>
      </w:r>
      <w:proofErr w:type="spellStart"/>
      <w:r w:rsidRPr="005E7268">
        <w:rPr>
          <w:szCs w:val="24"/>
        </w:rPr>
        <w:t>Rail</w:t>
      </w:r>
      <w:proofErr w:type="spellEnd"/>
      <w:r w:rsidRPr="005E7268">
        <w:rPr>
          <w:szCs w:val="24"/>
        </w:rPr>
        <w:t xml:space="preserve"> </w:t>
      </w:r>
      <w:proofErr w:type="spellStart"/>
      <w:r w:rsidRPr="005E7268">
        <w:rPr>
          <w:szCs w:val="24"/>
        </w:rPr>
        <w:t>Baltica</w:t>
      </w:r>
      <w:proofErr w:type="spellEnd"/>
      <w:r w:rsidRPr="005E7268">
        <w:rPr>
          <w:szCs w:val="24"/>
        </w:rPr>
        <w:t xml:space="preserve">“, karinių poligonų įrengimui ir plėtrai ir t.t. Įstatyme privačios žemės nusavinimo atvejų sąrašas yra išsamus ir baigtinis. Tai reiškia, kad jos nusavinimas kitiems negu  įstatyme numatytiems arba privatiems  poreikiams patenkinti yra neteisėtas. Yra žinoma atvejų, kai po viešojo intereso priedanga privatūs žemės sklypai buvo nusavinami tarsi miestų infrastruktūros plėtrai, taip pat negrąžinami buvusiems teisėtiems savininkams. Po  kurio laiko jie  tapdavo kitų privačių asmenų nuosavybe ir buvo naudojami individualių gyvenamųjų namų statybai. Tai akivaizdžiai neteisėtas ir piktnaudžiavimo teise atvejis. </w:t>
      </w:r>
    </w:p>
    <w:p w14:paraId="1A8DAA15" w14:textId="77777777" w:rsidR="005F6587" w:rsidRPr="005E7268" w:rsidRDefault="003B2155" w:rsidP="005E7268">
      <w:pPr>
        <w:ind w:left="-5"/>
        <w:rPr>
          <w:szCs w:val="24"/>
        </w:rPr>
      </w:pPr>
      <w:r w:rsidRPr="005E7268">
        <w:rPr>
          <w:szCs w:val="24"/>
        </w:rPr>
        <w:t xml:space="preserve">   Privačios žemės nusavinimo procedūrą vykdo Nacionalinė žemės tarnyba suinteresuotos valstybės institucijos ar savivaldybės prašymu. Prašymas turi būti pagrįstas konkrečiais įrodymais, kad privataus žemės sklypo ar jo dalies nusavinimas yra objektyviai būtinas, nes be to  negali būti patenkintas konkretus visuomenės ar valstybės poreikis. Tokie įrodymai gali būti bendrojo, specialiojo ir detaliojo teritorijų planavimo dokumentų duomenys ir kitos faktinės aplinkybės. Be to, turi būti nurodyti nusavinto žemės sklypo konkretus gavėjas ir atlyginimo už nusavintą žemę būdas ir dydis. Privati žemė  gali būti nusavinta tiktai tuomet, kai už ją teisingai atlyginama. Teisingo atlyginimo sampratos Konstitucija ir įstatymai neapibrėžė ją apibrėžti palikta teismų praktikai Tačiau bet kuriuo atveju atlyginimas turi būti lygiavertis nusavintai nuosavybei. Apie žemės sklypo ar jo dalies nusavinimą savininkas turi būti informuotas iš anksto ir su juo turi būti susitarta dėl atlyginimo dydžio ir tvarkos. Savininkas savo ruožtu negali piktnaudžiauti savo teise ir reikalauti nerealaus atlyginimo, viršijančio protingumo ribas. Kilęs ginčas dėl atlyginimo dydžio ir tvarkos sprendžiamas teisme. Svarbu pabrėžti, kad   valstybės institucijų nustatytos atlyginimo už nusavintą privačią žemę dydžio apskaičiavimo taisyklės ir metodikos turi tiktai rekomendacinę reikšmę. Kiekvienu atveju  konstitucinis teisingo ir lygiaverčio atlyginimo už nusavintą žemę principas reikalauja, kad atlyginimo už nusavintą privačią žemę būdas, dydis ir tvarka turi būti suderinti šios žemės  gavėjo ir savininko susitarimu. Atlyginama už nusavintą žemę savininko pasirinkimu gali būti lygiaverčiu žemės sklypu, pinigais ir kitais įstatyme nurodytais būdais. Kai savininkas pasirenka lygiavertį žemės sklypą lygiaverčiu jis laikomas tuomet jeigu yra tokios pačios  paskirties, tokio paties dydžio, pasižymi tokiomis pačiomis fizinėmis savybėmis ir yra tokios pačios vertės, kaip ir nusavintas žemės sklypas. Savininko sutikimu jam gali būti suteiktas ir mažesnio dydžio ir mažesnės vertės žemės sklypas, tuomet sklypo verčių skirtumas savininkui kompensuojamas pinigais. Kai savininkas  atlyginimo būdą už nusavintą žemę pasirenka pinigais, jam turi būti atlyginama: žemės sklypo reali vertė, taip pat želdinių, miško, negauto derliaus, statinių ir įrenginių vertė pagal šalių sutartą rinkos kainą. Be to, turi būti atlyginti  ir nuostoliai, susiję su ūkinės-komercinės veiklos nutraukimu nusavintame žemės sklype. </w:t>
      </w:r>
    </w:p>
    <w:p w14:paraId="47C2A9B7" w14:textId="13FFD8EB" w:rsidR="005F6587" w:rsidRPr="007A4EDC" w:rsidRDefault="003B2155" w:rsidP="007A4EDC">
      <w:pPr>
        <w:pStyle w:val="Sraopastraipa"/>
        <w:numPr>
          <w:ilvl w:val="0"/>
          <w:numId w:val="4"/>
        </w:numPr>
        <w:spacing w:line="259" w:lineRule="auto"/>
        <w:rPr>
          <w:szCs w:val="24"/>
        </w:rPr>
      </w:pPr>
      <w:r w:rsidRPr="007A4EDC">
        <w:rPr>
          <w:b/>
          <w:szCs w:val="24"/>
        </w:rPr>
        <w:t>Nuosavybės teisių ribojimų teisėtumas.</w:t>
      </w:r>
      <w:r w:rsidRPr="007A4EDC">
        <w:rPr>
          <w:szCs w:val="24"/>
        </w:rPr>
        <w:t xml:space="preserve">  </w:t>
      </w:r>
    </w:p>
    <w:p w14:paraId="11F5B344" w14:textId="77777777" w:rsidR="005F6587" w:rsidRPr="005E7268" w:rsidRDefault="003B2155" w:rsidP="005E7268">
      <w:pPr>
        <w:ind w:left="-5"/>
        <w:rPr>
          <w:szCs w:val="24"/>
        </w:rPr>
      </w:pPr>
      <w:r w:rsidRPr="005E7268">
        <w:rPr>
          <w:szCs w:val="24"/>
        </w:rPr>
        <w:t xml:space="preserve">   Žemės savininko nuosavybės teisės  įstatymuose numatytais atvejais gali būti ribojamos ar varžomos siekiant apsaugoti kitų asmenų, visuomenės ir valstybės teises bei interesus, taip pat žemės ir aplinkos apsaugos tikslais. Tokie savininko  nuosavybės teisių  ribojimai ar suvaržymai pasireiškia tuo, kad jis privalo arba jam draudžiama atlikti ar neatlikti tam tikrus įstatyme ar teismo sprendime nustatytus veiksmus. Tačiau  žemės  nuosavybės teisių suvaržymai ir ribojimai yra teisėti ir pagrįsti tiktai tuomet, kai remiasi įstatymu ar teismo sprendimu, yra būtini </w:t>
      </w:r>
      <w:proofErr w:type="spellStart"/>
      <w:r w:rsidRPr="005E7268">
        <w:rPr>
          <w:szCs w:val="24"/>
        </w:rPr>
        <w:t>viešąjam</w:t>
      </w:r>
      <w:proofErr w:type="spellEnd"/>
      <w:r w:rsidRPr="005E7268">
        <w:rPr>
          <w:szCs w:val="24"/>
        </w:rPr>
        <w:t xml:space="preserve"> interesui užtikrinti ir nepaneigia pačios nuosavybės teisės esmės.</w:t>
      </w:r>
    </w:p>
    <w:p w14:paraId="19EAECC1" w14:textId="77777777" w:rsidR="005F6587" w:rsidRPr="005E7268" w:rsidRDefault="003B2155" w:rsidP="005E7268">
      <w:pPr>
        <w:ind w:left="-5"/>
        <w:rPr>
          <w:szCs w:val="24"/>
        </w:rPr>
      </w:pPr>
      <w:r w:rsidRPr="005E7268">
        <w:rPr>
          <w:szCs w:val="24"/>
        </w:rPr>
        <w:t xml:space="preserve">  Civiliniame kodekse nustatyta, kad  įstatymu, sutartimi ar teismo sprendimu privačios žemės sklypui ar jo daliai gali būti nustatyti tam tikri servitutai, kurie suteikia teisę naudoti privataus žemės sklypo dalį kitų asmenų teisėms ir laisvėms, taip pat </w:t>
      </w:r>
      <w:proofErr w:type="spellStart"/>
      <w:r w:rsidRPr="005E7268">
        <w:rPr>
          <w:szCs w:val="24"/>
        </w:rPr>
        <w:t>viešąjam</w:t>
      </w:r>
      <w:proofErr w:type="spellEnd"/>
      <w:r w:rsidRPr="005E7268">
        <w:rPr>
          <w:szCs w:val="24"/>
        </w:rPr>
        <w:t xml:space="preserve"> interesui  įgyvendinti. Gali būti nustatyti servitutai, suteikiantys teisę naudotis pėsčiųjų taku, važiuoti dviračiams, vesti  galvijams,  važiuoti transporto priemonėms, statinių servitutai, draudžiantys  statyti statinius, kurie užstotų šviesą ar kraštovaizdį, taip </w:t>
      </w:r>
      <w:r w:rsidRPr="005E7268">
        <w:rPr>
          <w:szCs w:val="24"/>
        </w:rPr>
        <w:lastRenderedPageBreak/>
        <w:t xml:space="preserve">pat kiti servitutai   požeminių ir antžeminių komunikacijų klojimui ir  pan. Privataus žemės sklypo naudojimo teisė gali būti ribojama ir kitais atvejais. Pavyzdžiui, savininkas negali savavališkai plėsti savo  sklypo ribas gretimos privačios ar valstybinės žemės sąskaita, aptverti  sklypą aukšta tvora, sodinti  medžius ir   krūmus, statyti įvairius statinius , jeigu tai pažeidžia  gretimo sklypo savininko ar kitų asmenų teises ir laisves. Miško savininkas privalo leisti kitiems asmenims lankytis miške, rinkti miško gėrybes, naudotis  pėsčiųjų takais ir t.t. Privataus ežero ar kito vandens telkinio savininkas privalo leisti kitiems asmenims prieiti  prie paviršinio vandens telkinio ,  neaptverti jo tvora, jeigu arti nėra kito praėjimo,  taip pat leisti jame plaukioti ir žvejoti. Kai privačiame žemės sklype yra valstybinės ir vietinės reikšmės gamtos ir kultūros paveldo objektai, sklypo savininkas negali drausti juos lankyti kitiems asmenims ir privalo saugoti  juos nuo kenksmingų ūkinės veiklos padarinių ir sunaikinimo. Tokiais atvejais įstatymas  suteikia savininkui  teisę reikalauti, kad sutartimi su savivaldybe būtų nustatyti tam tikri servitutai. Tuomet savivaldybė turėtų kompensuoti savininkui nuostolius ir žąlą, kuriuos jis gali patirti dėl kitų asmenų piktnaudžiavimo  savo teisėmis, privačios teritorijos šiukšlinimo, nuosavybės objektų gadinimo ar žalojimo.   Žemės sklypo savininko teisės gali būti ribojamos ir žemės bei gamtinės aplinkos apsaugos tikslais. Savo žemėje vykdydamas  </w:t>
      </w:r>
      <w:proofErr w:type="spellStart"/>
      <w:r w:rsidRPr="005E7268">
        <w:rPr>
          <w:szCs w:val="24"/>
        </w:rPr>
        <w:t>ūkinękomercinę</w:t>
      </w:r>
      <w:proofErr w:type="spellEnd"/>
      <w:r w:rsidRPr="005E7268">
        <w:rPr>
          <w:szCs w:val="24"/>
        </w:rPr>
        <w:t xml:space="preserve"> veiklą savininkas savo lėšomis ir sąskaita privalo įgyvendinti žemės, miško, vandens telkinio augalijos ir </w:t>
      </w:r>
      <w:proofErr w:type="spellStart"/>
      <w:r w:rsidRPr="005E7268">
        <w:rPr>
          <w:szCs w:val="24"/>
        </w:rPr>
        <w:t>gyvunijos</w:t>
      </w:r>
      <w:proofErr w:type="spellEnd"/>
      <w:r w:rsidRPr="005E7268">
        <w:rPr>
          <w:szCs w:val="24"/>
        </w:rPr>
        <w:t xml:space="preserve"> apsaugos nuo gadinimo ar sunaikinimo priemones. Ūkinė veikla gali būti ribojama arba apskritai draudžiama, kai į žemės paviršių, vandens telkinį ar į orą </w:t>
      </w:r>
      <w:proofErr w:type="spellStart"/>
      <w:r w:rsidRPr="005E7268">
        <w:rPr>
          <w:szCs w:val="24"/>
        </w:rPr>
        <w:t>paskleidžami</w:t>
      </w:r>
      <w:proofErr w:type="spellEnd"/>
      <w:r w:rsidRPr="005E7268">
        <w:rPr>
          <w:szCs w:val="24"/>
        </w:rPr>
        <w:t xml:space="preserve"> įvairūs teršalai, kurie kenkia žmonių sveikatai ir gamtinei aplinkai.                       </w:t>
      </w:r>
    </w:p>
    <w:p w14:paraId="648972AA" w14:textId="77777777" w:rsidR="005F6587" w:rsidRPr="005E7268" w:rsidRDefault="003B2155" w:rsidP="005E7268">
      <w:pPr>
        <w:ind w:left="-5"/>
        <w:rPr>
          <w:szCs w:val="24"/>
        </w:rPr>
      </w:pPr>
      <w:r w:rsidRPr="005E7268">
        <w:rPr>
          <w:szCs w:val="24"/>
        </w:rPr>
        <w:t xml:space="preserve">   Savininkas dėl ūkinės-komercinės veiklos ribojimų ar  draudimų, taip pat visais jo nuosavybės teisių ribojimų atvejais turi teisę reikalauti, kad  jo patirti nuostoliai būtų pilnai kompensuoti, o padaryta žala realiai atlyginta.  Tačiau dažnai dėl lėšų trūkumo ar dėl kitų priežasčių valstybės institucijos atsisako reglamentuoti  įstatymuose ar teisės aktuose tokių nuostolių ar žalos kompensavimo sąlygas ir tvarką. Lietuvos miško ir žemės savininkų asociacijos duomenimis  dėl didelio masto ūkinės veiklos apribojimų, nustatytų Specialiose žemės ir miško naudojimo sąlygose savininkai patirs didelius nuostolius. Tačiau Aplinkos apsaugos ministerija asociacijai atsakė, kad kompensuoti nuostolius visiems savininkams nėra valstybės lėšų. Be to, savininkai nuostolių nepatirtų, nes medynas ir toliau auga ir 1 ha plote per metus priauga 8-9 kub.mm. medienos. Akivaizdu, kad tokiu atsakymu ignoruojamas konstitucinis teisingo ir  realaus atlyginimo savininkams  už jų nuosavybės teisių ribojimus principas. Pirma, mokėti kompensacijas tiktai daliai savininkų yra akivaizdi kitų savininkų diskriminacija. Antra, lėšos minėtoms kompensacijoms turėtų būti iš anksto numatytos ir suplanuotos valstybės biudžete. Jeigu konkrečiu laikotarpiu visų reikalingų lėšų išmokėti kompensacijas trūksta, galima jas išmokėti dalimis per tam tikrą laikotarpį. Tokiais  atvejais asociacija grupės suinteresuotų savininkų prašymu ir juos atstovaudama turi teisę jų nuosavybės teises ginti bendrosios kompetencijos teisme.</w:t>
      </w:r>
    </w:p>
    <w:p w14:paraId="0800D9B3" w14:textId="77777777" w:rsidR="005F6587" w:rsidRPr="005E7268" w:rsidRDefault="003B2155" w:rsidP="005E7268">
      <w:pPr>
        <w:ind w:left="-5"/>
        <w:rPr>
          <w:szCs w:val="24"/>
        </w:rPr>
      </w:pPr>
      <w:r w:rsidRPr="005E7268">
        <w:rPr>
          <w:szCs w:val="24"/>
        </w:rPr>
        <w:t xml:space="preserve">   Būtina pabrėžti, kad visais atvejais  kai įstatyme konkrečiai ir aiškiai  nesuformuluoti pareiga ar draudimas atlikti ar neatlikti tam tikrus veiksmus,  savininko nuosavybės teisių ribojimas ar suvaržymas  yra perteklinis ir  neteisėtas.  Civilinės   teisės ir pareigos atlikti ar neatlikti tam tikrus veiksmus įgyjamos ne vien tik iš įstatymų, bet ir iš įstatymo nedraudžiamų šalių susitarimų, vadovaujantis teisingumo, protingumo ir sąžiningumo principais.(</w:t>
      </w:r>
      <w:r w:rsidRPr="005E7268">
        <w:rPr>
          <w:i/>
          <w:szCs w:val="24"/>
        </w:rPr>
        <w:t>Civilinio kodekso 1.5 str.).</w:t>
      </w:r>
      <w:r w:rsidRPr="005E7268">
        <w:rPr>
          <w:szCs w:val="24"/>
        </w:rPr>
        <w:t xml:space="preserve"> Tai reiškia, kad    ir žemės nuosavybės santykiuose šalys turi teisę sutartimis,  kurių  nedraudžia įstatymas, nustatyti konkrečias tarpusavio teises ir pareigas atlikti ar neatlikti tam tikrus veiksmus. Šiuo atveju demokratinėse valstybėse  galioja nuo Senovės Romos laikų kilęs  principas: „kas įstatymu nedraudžiama-tas leidžiama“. Deja pas mus dažnai valstybės pareigūnai ir administraciniai  teismai savo veikloje  į tai neatsižvelgia ir vadovaujasi  atvirkščiu principu: „kas įstatyme nenustatyta-tas draudžiama“.</w:t>
      </w:r>
    </w:p>
    <w:p w14:paraId="23AC57C2" w14:textId="77777777" w:rsidR="005F6587" w:rsidRPr="005E7268" w:rsidRDefault="003B2155" w:rsidP="005E7268">
      <w:pPr>
        <w:ind w:left="-5"/>
        <w:rPr>
          <w:szCs w:val="24"/>
        </w:rPr>
      </w:pPr>
      <w:r w:rsidRPr="005E7268">
        <w:rPr>
          <w:szCs w:val="24"/>
        </w:rPr>
        <w:t xml:space="preserve">   Pastaruoju metu žiniasklaidoje buvo diskutuojama klausimu ar galima leisti privataus IV kategorijos ( ūkinės paskirties) miško savininkui statyti  laikiną medinį iki 25 </w:t>
      </w:r>
      <w:proofErr w:type="spellStart"/>
      <w:r w:rsidRPr="005E7268">
        <w:rPr>
          <w:szCs w:val="24"/>
        </w:rPr>
        <w:t>kv.m</w:t>
      </w:r>
      <w:proofErr w:type="spellEnd"/>
      <w:r w:rsidRPr="005E7268">
        <w:rPr>
          <w:szCs w:val="24"/>
        </w:rPr>
        <w:t>. ploto poilsio namelį? (</w:t>
      </w:r>
      <w:proofErr w:type="spellStart"/>
      <w:r w:rsidRPr="005E7268">
        <w:rPr>
          <w:i/>
          <w:szCs w:val="24"/>
        </w:rPr>
        <w:t>žr</w:t>
      </w:r>
      <w:proofErr w:type="spellEnd"/>
      <w:r w:rsidRPr="005E7268">
        <w:rPr>
          <w:i/>
          <w:szCs w:val="24"/>
        </w:rPr>
        <w:t xml:space="preserve">: </w:t>
      </w:r>
      <w:proofErr w:type="spellStart"/>
      <w:r w:rsidRPr="005E7268">
        <w:rPr>
          <w:i/>
          <w:szCs w:val="24"/>
        </w:rPr>
        <w:t>Delfi</w:t>
      </w:r>
      <w:proofErr w:type="spellEnd"/>
      <w:r w:rsidRPr="005E7268">
        <w:rPr>
          <w:i/>
          <w:szCs w:val="24"/>
        </w:rPr>
        <w:t xml:space="preserve"> 2025 m. gegužės 5 d.)</w:t>
      </w:r>
      <w:r w:rsidRPr="005E7268">
        <w:rPr>
          <w:szCs w:val="24"/>
        </w:rPr>
        <w:t xml:space="preserve">. Pareikšta nuomonių, kad Miškų įstatymas nenustatė, kokius statinius galima statyti privačiame miške,  tokio namelio statyba pažeistų miško ir visos aplinkos apsaugos reikalavimus </w:t>
      </w:r>
      <w:r w:rsidRPr="005E7268">
        <w:rPr>
          <w:szCs w:val="24"/>
        </w:rPr>
        <w:lastRenderedPageBreak/>
        <w:t>ir viešąjį interesą juos apsaugoti. Tačiau atsakyti į šį klausimą galima tiktai atlikus išsamų tyrimą ar tokio namelio statyba ir naudojimas nesukels grėsmės miško ir gamtinės aplinkos saugumui, nepažeis kitų asmenų teisių ir laisvių bei viešojo intereso . Gavus teigiamus tyrimo rezultatus savininko teisės statyti savo miške poilsio namelį suvaržymas būtų neproporcingas ir  neteisėtas. Tokiu atveju remiantis minėtais prigimtinės teisės principais miško savininkas turėtu sudaryti su miškotvarkos tarnyba sutartį, kurioje aptarti visas poilsio namelio statybos ir naudojimo sąlygas, taip pat miško ir gamtinės aplinkos apsaugos garantijas. Vis tik tikslinga ir Miškų įstatyme nustatyti tokių namelių ir kitų statinių privačiame miške statybos atvejus ir naudojimo sąlygas.</w:t>
      </w:r>
    </w:p>
    <w:p w14:paraId="25AF7C01" w14:textId="77777777" w:rsidR="005F6587" w:rsidRPr="005E7268" w:rsidRDefault="003B2155" w:rsidP="005E7268">
      <w:pPr>
        <w:spacing w:line="259" w:lineRule="auto"/>
        <w:ind w:left="-5"/>
        <w:rPr>
          <w:szCs w:val="24"/>
        </w:rPr>
      </w:pPr>
      <w:r w:rsidRPr="005E7268">
        <w:rPr>
          <w:szCs w:val="24"/>
        </w:rPr>
        <w:t xml:space="preserve">   </w:t>
      </w:r>
      <w:r w:rsidRPr="005E7268">
        <w:rPr>
          <w:b/>
          <w:szCs w:val="24"/>
        </w:rPr>
        <w:t>5. Nuosavybės teisių gynimo problemos.</w:t>
      </w:r>
    </w:p>
    <w:p w14:paraId="5834F3A0" w14:textId="77777777" w:rsidR="005F6587" w:rsidRPr="005E7268" w:rsidRDefault="003B2155" w:rsidP="005E7268">
      <w:pPr>
        <w:ind w:left="-5"/>
        <w:rPr>
          <w:szCs w:val="24"/>
        </w:rPr>
      </w:pPr>
      <w:r w:rsidRPr="005E7268">
        <w:rPr>
          <w:szCs w:val="24"/>
        </w:rPr>
        <w:t xml:space="preserve">   Privačios žemės, miško ar vandens telkinio  savininkas visais atvejais, kai ginčijama ar  pažeista jo nuosavybės teisė, padaryti nuostoliai ar žala turi teisę  asmeniškai  arba per atstovus ginti savo teises ir interesus teismuose. Procesinių įstatymų nustatyta tvarka savininko skundus ar pareiškimus dėl valstybės ar savivaldybių teisės aktų ar pareigūnų veiksmų, kuriais ribojama ar draudžiama įgyvendinti nuosavybės teises, nagrinėja administraciniai teismai, o  kai savininko nuosavybės teises ginčija ar pažeidžia  kiti fiziniai ar juridiniai asmenys ieškiniai nagrinėjami bendrosios kompetencijos teismuose. Tačiau savininkui dėl įvairių priežasčių  ne visuomet  pavyksta apginti savo nuosavybės teises ir interesus, nes  prašymus ar ieškinius teismai kartais atsisako nagrinėti arba atmeta .  </w:t>
      </w:r>
    </w:p>
    <w:p w14:paraId="027322FC" w14:textId="77777777" w:rsidR="005F6587" w:rsidRPr="005E7268" w:rsidRDefault="003B2155" w:rsidP="005E7268">
      <w:pPr>
        <w:ind w:left="-5"/>
        <w:rPr>
          <w:szCs w:val="24"/>
        </w:rPr>
      </w:pPr>
      <w:r w:rsidRPr="005E7268">
        <w:rPr>
          <w:szCs w:val="24"/>
        </w:rPr>
        <w:t xml:space="preserve">    Administraciniai teismai  paprastai atmeta savininko prašymus panaikinti tam tikrus ribojimus ar draudimus atlikti konkrečius veiksmus nes tokie veiksmai nenurodyti įstatyme. </w:t>
      </w:r>
    </w:p>
    <w:p w14:paraId="1611D991" w14:textId="77777777" w:rsidR="005F6587" w:rsidRPr="005E7268" w:rsidRDefault="003B2155" w:rsidP="005E7268">
      <w:pPr>
        <w:ind w:left="-5"/>
        <w:rPr>
          <w:szCs w:val="24"/>
        </w:rPr>
      </w:pPr>
      <w:r w:rsidRPr="005E7268">
        <w:rPr>
          <w:szCs w:val="24"/>
        </w:rPr>
        <w:t xml:space="preserve">   Privataus miško savininkas prašė Vilniaus apygardos administracinį teismą panaikinti Labanoro regioninio parko direkcijos draudimą savo miške įrengti </w:t>
      </w:r>
      <w:proofErr w:type="spellStart"/>
      <w:r w:rsidRPr="005E7268">
        <w:rPr>
          <w:szCs w:val="24"/>
        </w:rPr>
        <w:t>bitidę</w:t>
      </w:r>
      <w:proofErr w:type="spellEnd"/>
      <w:r w:rsidRPr="005E7268">
        <w:rPr>
          <w:szCs w:val="24"/>
        </w:rPr>
        <w:t xml:space="preserve">, skirtą bičių aviliams laikyti. Prašymą pagrindė tuo, kad galiojantieji teisės aktai nedraudžia šiame regioniniame parke statyti </w:t>
      </w:r>
      <w:proofErr w:type="spellStart"/>
      <w:r w:rsidRPr="005E7268">
        <w:rPr>
          <w:szCs w:val="24"/>
        </w:rPr>
        <w:t>bitidę</w:t>
      </w:r>
      <w:proofErr w:type="spellEnd"/>
      <w:r w:rsidRPr="005E7268">
        <w:rPr>
          <w:szCs w:val="24"/>
        </w:rPr>
        <w:t>, ji nepatenka į uždraustų statyti objektų sąrašą. Tačiau šis teismas prašymą atmetė, o vyriausiasis administracinis teismas šį sprendimą paliko nepakeistą. (</w:t>
      </w:r>
      <w:r w:rsidRPr="005E7268">
        <w:rPr>
          <w:i/>
          <w:szCs w:val="24"/>
        </w:rPr>
        <w:t>2009 m. gegužės 22 d, nutartis)</w:t>
      </w:r>
      <w:r w:rsidRPr="005E7268">
        <w:rPr>
          <w:szCs w:val="24"/>
        </w:rPr>
        <w:t xml:space="preserve">. Teismai sprendimą motyvavo tuo, kad Miškų įstatyme nėra nuostatų, kurios apibrėžtų, kokie statiniai gali būti statomi privataus miško žemėje, o ir bitininkystė nėra susijusi su miško veikla. Akivaizdu, kad teismai neproporcingai suvaržė miško savininko subjektyvias teises, nes  nesivadovavo teisingumo, protingumo ir sąžiningumo principais. Tuo labiau, kad valstybiniuose miškuose statyti </w:t>
      </w:r>
      <w:proofErr w:type="spellStart"/>
      <w:r w:rsidRPr="005E7268">
        <w:rPr>
          <w:szCs w:val="24"/>
        </w:rPr>
        <w:t>bitides</w:t>
      </w:r>
      <w:proofErr w:type="spellEnd"/>
      <w:r w:rsidRPr="005E7268">
        <w:rPr>
          <w:szCs w:val="24"/>
        </w:rPr>
        <w:t xml:space="preserve"> ir bitininkauti leidžiama. Nepagrįstas ir teismo motyvas, kad bitininkystė nesusijusi su miško veikla. Bitynų įrengimas ir  bitininkavimas miškuose yra istorinis nacionalinis  paveldas, kurio  istorija Lietuvoje prasidėjo dar nuo viduramžių laikų.</w:t>
      </w:r>
    </w:p>
    <w:p w14:paraId="45D4561C" w14:textId="77777777" w:rsidR="005F6587" w:rsidRPr="005E7268" w:rsidRDefault="003B2155" w:rsidP="005E7268">
      <w:pPr>
        <w:ind w:left="-5"/>
        <w:rPr>
          <w:szCs w:val="24"/>
        </w:rPr>
      </w:pPr>
      <w:r w:rsidRPr="005E7268">
        <w:rPr>
          <w:szCs w:val="24"/>
        </w:rPr>
        <w:t xml:space="preserve">   Dažnai  kai pareiškėjas prašo administracinį teismą ištirti norminio teisės akto teisėtumą, kurio taikymu  ginčijama arba gali būti  pažeista subjektyvi  nuosavybės teisė ar  padaryta žala,  prašymą teismas atsisako priimti arba atmeta. Tokį sprendimą  teismas paprastai motyvuoja tuo, kad savo prašymu  pareiškėjas iš esmės gina  subjektyvią nuosavybės teisę, todėl prašymas nenagrinėtinas administraciniame teisme. </w:t>
      </w:r>
    </w:p>
    <w:p w14:paraId="7DF8571F" w14:textId="77777777" w:rsidR="005F6587" w:rsidRPr="005E7268" w:rsidRDefault="003B2155" w:rsidP="005E7268">
      <w:pPr>
        <w:ind w:left="-5"/>
        <w:rPr>
          <w:szCs w:val="24"/>
        </w:rPr>
      </w:pPr>
      <w:r w:rsidRPr="005E7268">
        <w:rPr>
          <w:szCs w:val="24"/>
        </w:rPr>
        <w:t xml:space="preserve">   Lietuvos žemės ir miško savininkų asociacija prašė Vyriausiąjį administracinį teismą ištirti ar Aplinkos ministerijos teisės aktu patvirtinta  aplinkai padarytos žalos  dydžio apskaičiavimo metodika, kai  žalos  dydis yra apskaičiuojamas taikant fiksuotus  įkainius ir koeficientus, neprieštarauja Aplinkos apsaugos įstatymo reikalavimams. Šio įstatymo 32 str., nustatyta, kad  žala aplinkai įvertinama ir apskaičiuojama atsižvelgiant į pirminę aplinkos būklę iki žalos padarymo, taip pat į neigiamą poveikį aplinkai, žmonių sveikatai, aplinkos atkūrimo išlaidas ir t.t. Teismas pareiškėjo prašymą priimti atsisakė ir  konstatavo, kad pareiškėjo dėstomi argumentai iš esmės susiję su neteisėta veikla padaryta žala privačiam miškui, kurią privalo atlyginti ją padarę asmenys, dydžio apskaičiavimu. Tai  neturi ryšio su aplinkos apsauga, todėl prašymas nenagrinėtinas šiame teisme. </w:t>
      </w:r>
      <w:r w:rsidRPr="005E7268">
        <w:rPr>
          <w:i/>
          <w:szCs w:val="24"/>
        </w:rPr>
        <w:t>( 2022 m. gruodžio 7 d. nutartis)</w:t>
      </w:r>
      <w:r w:rsidRPr="005E7268">
        <w:rPr>
          <w:szCs w:val="24"/>
        </w:rPr>
        <w:t xml:space="preserve"> Tačiau teismui turėjo būti akivaizdu, kad metodikoje nurodyti  tiktai formalūs standartiniai  įkainiai ir koeficientai  žalos dydžiui apskaičiuoti, bet  nebuvo atsižvelgta į minėtus Aplinkos apsaugos įstatymo reikalavimus įvertinti pirminę  miško būklę ir vertę iki žalos padarymo.  Be to, metodikos taikymas praktikoje pažeistų </w:t>
      </w:r>
      <w:r w:rsidRPr="005E7268">
        <w:rPr>
          <w:szCs w:val="24"/>
        </w:rPr>
        <w:lastRenderedPageBreak/>
        <w:t>savininko teisę  gauti  teisingą  atlyginimą už privačiam miškui padarytą žalą, nes apskaičiuojant   žalos dydį neatsižvelgiama į miško vertę ir realią rinkos kainą. Miškas  yra valstybės saugoma ir ginama  nacionalinė vertybė, nežiūrint į tai ar jis yra privatus ar valstybinis, todėl jo išsaugojimas, o padarius žalą teisingas ir realus jos atlyginimas yra ne tik privatus, bet ir viešasis interesas. Dėl to teismas negalėjo atsisakyti priimti asociacijos pareiškimą, bet privalėjo ištirti šio teisės akto  atitikimo Aplinkos apsaugos įstatymui tyrimą. (</w:t>
      </w:r>
      <w:r w:rsidRPr="005E7268">
        <w:rPr>
          <w:i/>
          <w:szCs w:val="24"/>
        </w:rPr>
        <w:t>Administracinių bylų teisenos įstatymas 112 str.).</w:t>
      </w:r>
    </w:p>
    <w:p w14:paraId="3B333021" w14:textId="77777777" w:rsidR="005F6587" w:rsidRPr="005E7268" w:rsidRDefault="003B2155" w:rsidP="005E7268">
      <w:pPr>
        <w:ind w:left="-5"/>
        <w:rPr>
          <w:szCs w:val="24"/>
        </w:rPr>
      </w:pPr>
      <w:r w:rsidRPr="005E7268">
        <w:rPr>
          <w:szCs w:val="24"/>
        </w:rPr>
        <w:t xml:space="preserve">   Kai  savininko nuosavybės teises apribojo arba pažeidė valstybės institucijos ar savivaldybės  teisės aktas, jis ar jo atstovas  turi teisę kreipti ir į bendrosios kompetencijos teismą.</w:t>
      </w:r>
      <w:r w:rsidRPr="005E7268">
        <w:rPr>
          <w:i/>
          <w:szCs w:val="24"/>
        </w:rPr>
        <w:t xml:space="preserve"> </w:t>
      </w:r>
      <w:r w:rsidRPr="005E7268">
        <w:rPr>
          <w:szCs w:val="24"/>
        </w:rPr>
        <w:t xml:space="preserve">Tuomet ieškinyje turi vyrauti argumentai, pagrįsti konkrečiais įrodymais, kad subjektyvios nuosavybės teisės apribotos ar pažeistos, padaryti nuostoliai ar žala  būtent dėl konkretaus teisės akto ar jo dalies praktinio taikymo. Tokiais atvejais teismas stabdo bylos nagrinėjimą ir savo iniciatyva kreipiasi į administracinį teismą, kuris privalo  ištirti tokio teisės akto teisėtumą. Gavęs įsiteisėjusį administracinio  teismo nutarimą teismas nagrinėja bylą iš esmės. ( </w:t>
      </w:r>
      <w:r w:rsidRPr="005E7268">
        <w:rPr>
          <w:i/>
          <w:szCs w:val="24"/>
        </w:rPr>
        <w:t>Civilinio proceso kodeksas 3 str. 4d., 36 str. 2 d.)</w:t>
      </w:r>
      <w:r w:rsidRPr="005E7268">
        <w:rPr>
          <w:szCs w:val="24"/>
        </w:rPr>
        <w:t xml:space="preserve"> Tai gali būti ilgesnis, bet patikimesnis būdas ginti  šiuose  teismuose  valstybės institucijos ar savivaldybės teisės aktu ar pareigūnų veiksmais pažeistas savininko nuosavybės teises ir  interesus. Be to, kai asociacija ar kita visuomeninė organizacija, suinteresuota žemės ir aplinkos apsauga gina teisme viešąjį interesą, ji visuomet gali įtraukti į bylą trečiąjį asmenį-savininką su savarankiškais reikalavimais, jeigu   pažeidus viešąjį interesą kartu buvo ginčijamos arba pažeistos jo nuosavybės teisės.</w:t>
      </w:r>
    </w:p>
    <w:p w14:paraId="35CA432C" w14:textId="44AE7A29" w:rsidR="005F6587" w:rsidRPr="005E7268" w:rsidRDefault="003B2155" w:rsidP="005E7268">
      <w:pPr>
        <w:spacing w:after="808"/>
        <w:ind w:left="-5"/>
        <w:rPr>
          <w:szCs w:val="24"/>
        </w:rPr>
      </w:pPr>
      <w:r w:rsidRPr="005E7268">
        <w:rPr>
          <w:szCs w:val="24"/>
        </w:rPr>
        <w:t xml:space="preserve">   Bendrosios kompetencijos teismai savininko ieškinius dėl nuosavybės teisės ginčijimo ar pažeidimo dažniausiai atmeta dėl to, kad jie nepagrįsti faktinėmis aplinkybėmis ir konkrečiais įrodymais . Lietuvos Aukščiausiasis teismas išaiškino, kad  privačiai žemei ir gamtinei aplinkai padaryta žala turi būti nustatoma, įrodinėjama ir jos dydis apskaičiuojamas remiantis ne valstybės institucijų nustatytomis metodikomis ar taisyklėmis, bet faktinėmis bylos aplinkybėmis ir konkrečiais įrodymais.  Šis teismas yra plačiai apibendrinęs teismų praktiką nuosavybės teisių gynimo bylose, kuria galima vadovautis  ginant žemės savininko nuosavybės teises ir interesus bendrosios kompetencijos teismuose. </w:t>
      </w:r>
    </w:p>
    <w:p w14:paraId="2B7FB904" w14:textId="77777777" w:rsidR="005F6587" w:rsidRPr="005E7268" w:rsidRDefault="003B2155" w:rsidP="005E7268">
      <w:pPr>
        <w:spacing w:after="1912" w:line="259" w:lineRule="auto"/>
        <w:ind w:left="0" w:firstLine="0"/>
        <w:rPr>
          <w:szCs w:val="24"/>
        </w:rPr>
      </w:pPr>
      <w:r w:rsidRPr="005E7268">
        <w:rPr>
          <w:szCs w:val="24"/>
        </w:rPr>
        <w:t xml:space="preserve">   </w:t>
      </w:r>
    </w:p>
    <w:p w14:paraId="5DE9939C" w14:textId="77777777" w:rsidR="005F6587" w:rsidRPr="005E7268" w:rsidRDefault="003B2155" w:rsidP="005E7268">
      <w:pPr>
        <w:ind w:left="-5"/>
        <w:rPr>
          <w:szCs w:val="24"/>
        </w:rPr>
      </w:pPr>
      <w:r w:rsidRPr="005E7268">
        <w:rPr>
          <w:szCs w:val="24"/>
        </w:rPr>
        <w:t>,</w:t>
      </w:r>
    </w:p>
    <w:p w14:paraId="64D0BA9C" w14:textId="77777777" w:rsidR="005F6587" w:rsidRPr="005E7268" w:rsidRDefault="005F6587" w:rsidP="005E7268">
      <w:pPr>
        <w:rPr>
          <w:szCs w:val="24"/>
        </w:rPr>
        <w:sectPr w:rsidR="005F6587" w:rsidRPr="005E7268">
          <w:headerReference w:type="even" r:id="rId8"/>
          <w:headerReference w:type="default" r:id="rId9"/>
          <w:headerReference w:type="first" r:id="rId10"/>
          <w:pgSz w:w="11906" w:h="16838"/>
          <w:pgMar w:top="1450" w:right="540" w:bottom="1598" w:left="1442" w:header="769" w:footer="567" w:gutter="0"/>
          <w:cols w:space="1296"/>
        </w:sectPr>
      </w:pPr>
    </w:p>
    <w:p w14:paraId="3693E4F0" w14:textId="77777777" w:rsidR="005F6587" w:rsidRPr="005E7268" w:rsidRDefault="003B2155" w:rsidP="005E7268">
      <w:pPr>
        <w:spacing w:line="259" w:lineRule="auto"/>
        <w:ind w:left="8918" w:right="-3" w:firstLine="0"/>
        <w:rPr>
          <w:szCs w:val="24"/>
        </w:rPr>
      </w:pPr>
      <w:r w:rsidRPr="005E7268">
        <w:rPr>
          <w:rFonts w:eastAsia="Calibri"/>
          <w:szCs w:val="24"/>
        </w:rPr>
        <w:lastRenderedPageBreak/>
        <w:t>7</w:t>
      </w:r>
    </w:p>
    <w:sectPr w:rsidR="005F6587" w:rsidRPr="005E7268">
      <w:headerReference w:type="even" r:id="rId11"/>
      <w:headerReference w:type="default" r:id="rId12"/>
      <w:headerReference w:type="first" r:id="rId13"/>
      <w:pgSz w:w="11906" w:h="16838"/>
      <w:pgMar w:top="1440" w:right="1440" w:bottom="1440" w:left="1440" w:header="567" w:footer="567"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817961" w14:textId="77777777" w:rsidR="00B60EB8" w:rsidRDefault="00B60EB8">
      <w:pPr>
        <w:spacing w:line="240" w:lineRule="auto"/>
      </w:pPr>
      <w:r>
        <w:separator/>
      </w:r>
    </w:p>
  </w:endnote>
  <w:endnote w:type="continuationSeparator" w:id="0">
    <w:p w14:paraId="2B4156F6" w14:textId="77777777" w:rsidR="00B60EB8" w:rsidRDefault="00B60EB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ACF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D452AE" w14:textId="77777777" w:rsidR="00B60EB8" w:rsidRDefault="00B60EB8">
      <w:pPr>
        <w:spacing w:line="240" w:lineRule="auto"/>
      </w:pPr>
      <w:r>
        <w:separator/>
      </w:r>
    </w:p>
  </w:footnote>
  <w:footnote w:type="continuationSeparator" w:id="0">
    <w:p w14:paraId="26312AC3" w14:textId="77777777" w:rsidR="00B60EB8" w:rsidRDefault="00B60EB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15D633" w14:textId="77777777" w:rsidR="005F6587" w:rsidRDefault="003B2155">
    <w:pPr>
      <w:spacing w:line="259" w:lineRule="auto"/>
      <w:ind w:left="0" w:right="896" w:firstLine="0"/>
      <w:jc w:val="right"/>
    </w:pPr>
    <w:r>
      <w:fldChar w:fldCharType="begin"/>
    </w:r>
    <w:r>
      <w:instrText xml:space="preserve"> PAGE   \* MERGEFORMAT </w:instrText>
    </w:r>
    <w:r>
      <w:fldChar w:fldCharType="separate"/>
    </w:r>
    <w:r>
      <w:rPr>
        <w:rFonts w:ascii="Calibri" w:eastAsia="Calibri" w:hAnsi="Calibri" w:cs="Calibri"/>
        <w:sz w:val="22"/>
      </w:rPr>
      <w:t>1</w:t>
    </w:r>
    <w:r>
      <w:rPr>
        <w:rFonts w:ascii="Calibri" w:eastAsia="Calibri" w:hAnsi="Calibri" w:cs="Calibri"/>
        <w:sz w:val="22"/>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0A97D4" w14:textId="77777777" w:rsidR="005F6587" w:rsidRDefault="003B2155">
    <w:pPr>
      <w:spacing w:line="259" w:lineRule="auto"/>
      <w:ind w:left="0" w:right="896" w:firstLine="0"/>
      <w:jc w:val="right"/>
    </w:pPr>
    <w:r>
      <w:fldChar w:fldCharType="begin"/>
    </w:r>
    <w:r>
      <w:instrText xml:space="preserve"> PAGE   \* MERGEFORMAT </w:instrText>
    </w:r>
    <w:r>
      <w:fldChar w:fldCharType="separate"/>
    </w:r>
    <w:r>
      <w:rPr>
        <w:rFonts w:ascii="Calibri" w:eastAsia="Calibri" w:hAnsi="Calibri" w:cs="Calibri"/>
        <w:sz w:val="22"/>
      </w:rPr>
      <w:t>1</w:t>
    </w:r>
    <w:r>
      <w:rPr>
        <w:rFonts w:ascii="Calibri" w:eastAsia="Calibri" w:hAnsi="Calibri" w:cs="Calibri"/>
        <w:sz w:val="22"/>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772327" w14:textId="77777777" w:rsidR="005F6587" w:rsidRDefault="003B2155">
    <w:pPr>
      <w:spacing w:line="259" w:lineRule="auto"/>
      <w:ind w:left="0" w:right="896" w:firstLine="0"/>
      <w:jc w:val="right"/>
    </w:pPr>
    <w:r>
      <w:fldChar w:fldCharType="begin"/>
    </w:r>
    <w:r>
      <w:instrText xml:space="preserve"> PAGE   \* MERGEFORMAT </w:instrText>
    </w:r>
    <w:r>
      <w:fldChar w:fldCharType="separate"/>
    </w:r>
    <w:r>
      <w:rPr>
        <w:rFonts w:ascii="Calibri" w:eastAsia="Calibri" w:hAnsi="Calibri" w:cs="Calibri"/>
        <w:sz w:val="22"/>
      </w:rPr>
      <w:t>1</w:t>
    </w:r>
    <w:r>
      <w:rPr>
        <w:rFonts w:ascii="Calibri" w:eastAsia="Calibri" w:hAnsi="Calibri" w:cs="Calibri"/>
        <w:sz w:val="22"/>
      </w:rP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A5C5ED" w14:textId="77777777" w:rsidR="005F6587" w:rsidRDefault="005F6587">
    <w:pPr>
      <w:spacing w:after="160" w:line="259" w:lineRule="auto"/>
      <w:ind w:left="0" w:firstLine="0"/>
      <w:jc w:val="left"/>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0332A6" w14:textId="77777777" w:rsidR="005F6587" w:rsidRDefault="005F6587">
    <w:pPr>
      <w:spacing w:after="160" w:line="259" w:lineRule="auto"/>
      <w:ind w:left="0" w:firstLine="0"/>
      <w:jc w:val="left"/>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BA8F7D" w14:textId="77777777" w:rsidR="005F6587" w:rsidRDefault="005F6587">
    <w:pPr>
      <w:spacing w:after="160" w:line="259" w:lineRule="auto"/>
      <w:ind w:left="0" w:firstLine="0"/>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64615F"/>
    <w:multiLevelType w:val="hybridMultilevel"/>
    <w:tmpl w:val="770805F6"/>
    <w:lvl w:ilvl="0" w:tplc="9064F584">
      <w:start w:val="1"/>
      <w:numFmt w:val="decimal"/>
      <w:lvlText w:val="%1."/>
      <w:lvlJc w:val="left"/>
      <w:pPr>
        <w:ind w:left="525" w:hanging="360"/>
      </w:pPr>
      <w:rPr>
        <w:rFonts w:hint="default"/>
      </w:rPr>
    </w:lvl>
    <w:lvl w:ilvl="1" w:tplc="04270019" w:tentative="1">
      <w:start w:val="1"/>
      <w:numFmt w:val="lowerLetter"/>
      <w:lvlText w:val="%2."/>
      <w:lvlJc w:val="left"/>
      <w:pPr>
        <w:ind w:left="1245" w:hanging="360"/>
      </w:pPr>
    </w:lvl>
    <w:lvl w:ilvl="2" w:tplc="0427001B" w:tentative="1">
      <w:start w:val="1"/>
      <w:numFmt w:val="lowerRoman"/>
      <w:lvlText w:val="%3."/>
      <w:lvlJc w:val="right"/>
      <w:pPr>
        <w:ind w:left="1965" w:hanging="180"/>
      </w:pPr>
    </w:lvl>
    <w:lvl w:ilvl="3" w:tplc="0427000F" w:tentative="1">
      <w:start w:val="1"/>
      <w:numFmt w:val="decimal"/>
      <w:lvlText w:val="%4."/>
      <w:lvlJc w:val="left"/>
      <w:pPr>
        <w:ind w:left="2685" w:hanging="360"/>
      </w:pPr>
    </w:lvl>
    <w:lvl w:ilvl="4" w:tplc="04270019" w:tentative="1">
      <w:start w:val="1"/>
      <w:numFmt w:val="lowerLetter"/>
      <w:lvlText w:val="%5."/>
      <w:lvlJc w:val="left"/>
      <w:pPr>
        <w:ind w:left="3405" w:hanging="360"/>
      </w:pPr>
    </w:lvl>
    <w:lvl w:ilvl="5" w:tplc="0427001B" w:tentative="1">
      <w:start w:val="1"/>
      <w:numFmt w:val="lowerRoman"/>
      <w:lvlText w:val="%6."/>
      <w:lvlJc w:val="right"/>
      <w:pPr>
        <w:ind w:left="4125" w:hanging="180"/>
      </w:pPr>
    </w:lvl>
    <w:lvl w:ilvl="6" w:tplc="0427000F" w:tentative="1">
      <w:start w:val="1"/>
      <w:numFmt w:val="decimal"/>
      <w:lvlText w:val="%7."/>
      <w:lvlJc w:val="left"/>
      <w:pPr>
        <w:ind w:left="4845" w:hanging="360"/>
      </w:pPr>
    </w:lvl>
    <w:lvl w:ilvl="7" w:tplc="04270019" w:tentative="1">
      <w:start w:val="1"/>
      <w:numFmt w:val="lowerLetter"/>
      <w:lvlText w:val="%8."/>
      <w:lvlJc w:val="left"/>
      <w:pPr>
        <w:ind w:left="5565" w:hanging="360"/>
      </w:pPr>
    </w:lvl>
    <w:lvl w:ilvl="8" w:tplc="0427001B" w:tentative="1">
      <w:start w:val="1"/>
      <w:numFmt w:val="lowerRoman"/>
      <w:lvlText w:val="%9."/>
      <w:lvlJc w:val="right"/>
      <w:pPr>
        <w:ind w:left="6285" w:hanging="180"/>
      </w:pPr>
    </w:lvl>
  </w:abstractNum>
  <w:abstractNum w:abstractNumId="1" w15:restartNumberingAfterBreak="0">
    <w:nsid w:val="2A292B7A"/>
    <w:multiLevelType w:val="hybridMultilevel"/>
    <w:tmpl w:val="FFFFFFFF"/>
    <w:lvl w:ilvl="0" w:tplc="58621CEC">
      <w:start w:val="2"/>
      <w:numFmt w:val="decimal"/>
      <w:lvlText w:val="%1."/>
      <w:lvlJc w:val="left"/>
      <w:pPr>
        <w:ind w:left="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45E5422">
      <w:start w:val="1"/>
      <w:numFmt w:val="lowerLetter"/>
      <w:lvlText w:val="%2"/>
      <w:lvlJc w:val="left"/>
      <w:pPr>
        <w:ind w:left="12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A9A7AC0">
      <w:start w:val="1"/>
      <w:numFmt w:val="lowerRoman"/>
      <w:lvlText w:val="%3"/>
      <w:lvlJc w:val="left"/>
      <w:pPr>
        <w:ind w:left="19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1A846C6">
      <w:start w:val="1"/>
      <w:numFmt w:val="decimal"/>
      <w:lvlText w:val="%4"/>
      <w:lvlJc w:val="left"/>
      <w:pPr>
        <w:ind w:left="26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A629096">
      <w:start w:val="1"/>
      <w:numFmt w:val="lowerLetter"/>
      <w:lvlText w:val="%5"/>
      <w:lvlJc w:val="left"/>
      <w:pPr>
        <w:ind w:left="33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9921D42">
      <w:start w:val="1"/>
      <w:numFmt w:val="lowerRoman"/>
      <w:lvlText w:val="%6"/>
      <w:lvlJc w:val="left"/>
      <w:pPr>
        <w:ind w:left="41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16CD3AA">
      <w:start w:val="1"/>
      <w:numFmt w:val="decimal"/>
      <w:lvlText w:val="%7"/>
      <w:lvlJc w:val="left"/>
      <w:pPr>
        <w:ind w:left="48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E5EA17C">
      <w:start w:val="1"/>
      <w:numFmt w:val="lowerLetter"/>
      <w:lvlText w:val="%8"/>
      <w:lvlJc w:val="left"/>
      <w:pPr>
        <w:ind w:left="55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DF2E3EC">
      <w:start w:val="1"/>
      <w:numFmt w:val="lowerRoman"/>
      <w:lvlText w:val="%9"/>
      <w:lvlJc w:val="left"/>
      <w:pPr>
        <w:ind w:left="62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3E701C05"/>
    <w:multiLevelType w:val="hybridMultilevel"/>
    <w:tmpl w:val="39FE2C06"/>
    <w:lvl w:ilvl="0" w:tplc="DBEA2F92">
      <w:start w:val="4"/>
      <w:numFmt w:val="decimal"/>
      <w:lvlText w:val="%1."/>
      <w:lvlJc w:val="left"/>
      <w:pPr>
        <w:ind w:left="720" w:hanging="360"/>
      </w:pPr>
      <w:rPr>
        <w:rFonts w:hint="default"/>
        <w:b/>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 w15:restartNumberingAfterBreak="0">
    <w:nsid w:val="7B0418A3"/>
    <w:multiLevelType w:val="hybridMultilevel"/>
    <w:tmpl w:val="C49661DA"/>
    <w:lvl w:ilvl="0" w:tplc="EE3653D0">
      <w:start w:val="4"/>
      <w:numFmt w:val="decimal"/>
      <w:lvlText w:val="%1."/>
      <w:lvlJc w:val="left"/>
      <w:pPr>
        <w:ind w:left="600" w:hanging="360"/>
      </w:pPr>
      <w:rPr>
        <w:rFonts w:hint="default"/>
        <w:b/>
      </w:rPr>
    </w:lvl>
    <w:lvl w:ilvl="1" w:tplc="04270019" w:tentative="1">
      <w:start w:val="1"/>
      <w:numFmt w:val="lowerLetter"/>
      <w:lvlText w:val="%2."/>
      <w:lvlJc w:val="left"/>
      <w:pPr>
        <w:ind w:left="1320" w:hanging="360"/>
      </w:pPr>
    </w:lvl>
    <w:lvl w:ilvl="2" w:tplc="0427001B" w:tentative="1">
      <w:start w:val="1"/>
      <w:numFmt w:val="lowerRoman"/>
      <w:lvlText w:val="%3."/>
      <w:lvlJc w:val="right"/>
      <w:pPr>
        <w:ind w:left="2040" w:hanging="180"/>
      </w:pPr>
    </w:lvl>
    <w:lvl w:ilvl="3" w:tplc="0427000F" w:tentative="1">
      <w:start w:val="1"/>
      <w:numFmt w:val="decimal"/>
      <w:lvlText w:val="%4."/>
      <w:lvlJc w:val="left"/>
      <w:pPr>
        <w:ind w:left="2760" w:hanging="360"/>
      </w:pPr>
    </w:lvl>
    <w:lvl w:ilvl="4" w:tplc="04270019" w:tentative="1">
      <w:start w:val="1"/>
      <w:numFmt w:val="lowerLetter"/>
      <w:lvlText w:val="%5."/>
      <w:lvlJc w:val="left"/>
      <w:pPr>
        <w:ind w:left="3480" w:hanging="360"/>
      </w:pPr>
    </w:lvl>
    <w:lvl w:ilvl="5" w:tplc="0427001B" w:tentative="1">
      <w:start w:val="1"/>
      <w:numFmt w:val="lowerRoman"/>
      <w:lvlText w:val="%6."/>
      <w:lvlJc w:val="right"/>
      <w:pPr>
        <w:ind w:left="4200" w:hanging="180"/>
      </w:pPr>
    </w:lvl>
    <w:lvl w:ilvl="6" w:tplc="0427000F" w:tentative="1">
      <w:start w:val="1"/>
      <w:numFmt w:val="decimal"/>
      <w:lvlText w:val="%7."/>
      <w:lvlJc w:val="left"/>
      <w:pPr>
        <w:ind w:left="4920" w:hanging="360"/>
      </w:pPr>
    </w:lvl>
    <w:lvl w:ilvl="7" w:tplc="04270019" w:tentative="1">
      <w:start w:val="1"/>
      <w:numFmt w:val="lowerLetter"/>
      <w:lvlText w:val="%8."/>
      <w:lvlJc w:val="left"/>
      <w:pPr>
        <w:ind w:left="5640" w:hanging="360"/>
      </w:pPr>
    </w:lvl>
    <w:lvl w:ilvl="8" w:tplc="0427001B" w:tentative="1">
      <w:start w:val="1"/>
      <w:numFmt w:val="lowerRoman"/>
      <w:lvlText w:val="%9."/>
      <w:lvlJc w:val="right"/>
      <w:pPr>
        <w:ind w:left="6360" w:hanging="180"/>
      </w:pPr>
    </w:lvl>
  </w:abstractNum>
  <w:num w:numId="1" w16cid:durableId="1236354540">
    <w:abstractNumId w:val="1"/>
  </w:num>
  <w:num w:numId="2" w16cid:durableId="940185662">
    <w:abstractNumId w:val="0"/>
  </w:num>
  <w:num w:numId="3" w16cid:durableId="439299801">
    <w:abstractNumId w:val="3"/>
  </w:num>
  <w:num w:numId="4" w16cid:durableId="128353163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1296"/>
  <w:hyphenationZone w:val="396"/>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F6587"/>
    <w:rsid w:val="001D012E"/>
    <w:rsid w:val="002B194A"/>
    <w:rsid w:val="003B2155"/>
    <w:rsid w:val="004B4760"/>
    <w:rsid w:val="004B62B7"/>
    <w:rsid w:val="00516EFD"/>
    <w:rsid w:val="005E7268"/>
    <w:rsid w:val="005F6587"/>
    <w:rsid w:val="00603092"/>
    <w:rsid w:val="007A4EDC"/>
    <w:rsid w:val="007F5912"/>
    <w:rsid w:val="00A61C10"/>
    <w:rsid w:val="00AF6083"/>
    <w:rsid w:val="00B5538C"/>
    <w:rsid w:val="00B60EB8"/>
    <w:rsid w:val="00EF2EB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EE4AEE"/>
  <w15:docId w15:val="{F8AC3B10-B7A7-A84C-8E48-E1FA53DF7A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lt-LT" w:eastAsia="lt-LT"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pPr>
      <w:spacing w:after="0" w:line="249" w:lineRule="auto"/>
      <w:ind w:left="10" w:hanging="10"/>
      <w:jc w:val="both"/>
    </w:pPr>
    <w:rPr>
      <w:rFonts w:ascii="Times New Roman" w:eastAsia="Times New Roman" w:hAnsi="Times New Roman" w:cs="Times New Roman"/>
      <w:color w:val="000000"/>
      <w:sz w:val="24"/>
      <w:lang w:bidi="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60309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6.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eader" Target="header5.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4.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7</Pages>
  <Words>2992</Words>
  <Characters>20258</Characters>
  <Application>Microsoft Office Word</Application>
  <DocSecurity>0</DocSecurity>
  <Lines>250</Lines>
  <Paragraphs>34</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23216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Eduardas Monkevičius</dc:creator>
  <cp:keywords/>
  <cp:lastModifiedBy>Eduardas Monkevičius</cp:lastModifiedBy>
  <cp:revision>2</cp:revision>
  <dcterms:created xsi:type="dcterms:W3CDTF">2026-05-22T13:28:00Z</dcterms:created>
  <dcterms:modified xsi:type="dcterms:W3CDTF">2026-05-22T13:28:00Z</dcterms:modified>
</cp:coreProperties>
</file>